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49123" w14:textId="67639C99" w:rsidR="00D83265" w:rsidRPr="000F2C83" w:rsidRDefault="00D83265" w:rsidP="00D83265">
      <w:pPr>
        <w:spacing w:after="200" w:line="276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Ověření úrovně kybernetické bezpečnosti dodavatelů</w:t>
      </w:r>
      <w:r w:rsidR="00AE74A5">
        <w:rPr>
          <w:b/>
          <w:bCs/>
          <w:sz w:val="24"/>
          <w:szCs w:val="28"/>
        </w:rPr>
        <w:t xml:space="preserve"> a servisních středisek</w:t>
      </w:r>
      <w:r>
        <w:rPr>
          <w:b/>
          <w:bCs/>
          <w:sz w:val="24"/>
          <w:szCs w:val="28"/>
        </w:rPr>
        <w:t xml:space="preserve"> SOR</w:t>
      </w:r>
    </w:p>
    <w:p w14:paraId="518C0E7E" w14:textId="2950EE1A" w:rsidR="00DE731D" w:rsidRDefault="00D83265" w:rsidP="00D83265">
      <w:pPr>
        <w:spacing w:after="200" w:line="276" w:lineRule="auto"/>
      </w:pPr>
      <w:r>
        <w:t>Společnost, případně jeho organizační jednotka odpovědná za plnění dodávek pro SOR, provede vyplnění následujícího dotazníku definujícího úroveň jejího bezpečnostního standardu a z toho vyplývajících rizik kybernetické bezpečnosti. Tento dotazník slouží i jako kostra auditu při provádění případného ověření zákaznickým auditem SOR u dodavatele.</w:t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437"/>
        <w:gridCol w:w="4376"/>
        <w:gridCol w:w="2503"/>
        <w:gridCol w:w="2289"/>
        <w:gridCol w:w="2292"/>
        <w:gridCol w:w="3251"/>
        <w:gridCol w:w="9"/>
      </w:tblGrid>
      <w:tr w:rsidR="00D83265" w:rsidRPr="000F2C83" w14:paraId="0E73905C" w14:textId="77777777" w:rsidTr="00DE731D">
        <w:trPr>
          <w:trHeight w:val="17"/>
        </w:trPr>
        <w:tc>
          <w:tcPr>
            <w:tcW w:w="4815" w:type="dxa"/>
            <w:gridSpan w:val="2"/>
          </w:tcPr>
          <w:p w14:paraId="363E84DE" w14:textId="2ED80D7A" w:rsidR="00D83265" w:rsidRPr="00E67369" w:rsidRDefault="00D83265" w:rsidP="00060593">
            <w:pPr>
              <w:spacing w:after="200" w:line="276" w:lineRule="auto"/>
              <w:jc w:val="right"/>
              <w:rPr>
                <w:b/>
                <w:bCs/>
              </w:rPr>
            </w:pPr>
            <w:r w:rsidRPr="00E67369">
              <w:rPr>
                <w:b/>
                <w:bCs/>
              </w:rPr>
              <w:t>Dodavatel</w:t>
            </w:r>
            <w:r w:rsidR="00731F50">
              <w:rPr>
                <w:b/>
                <w:bCs/>
              </w:rPr>
              <w:t xml:space="preserve"> / ser. středisko</w:t>
            </w:r>
            <w:r w:rsidRPr="00E67369">
              <w:rPr>
                <w:b/>
                <w:bCs/>
              </w:rPr>
              <w:t xml:space="preserve"> (obchodní jméno, IČ): </w:t>
            </w:r>
          </w:p>
        </w:tc>
        <w:tc>
          <w:tcPr>
            <w:tcW w:w="10342" w:type="dxa"/>
            <w:gridSpan w:val="5"/>
            <w:noWrap/>
          </w:tcPr>
          <w:p w14:paraId="177C1663" w14:textId="77777777" w:rsidR="00D83265" w:rsidRDefault="00D83265" w:rsidP="00060593">
            <w:pPr>
              <w:spacing w:after="200" w:line="276" w:lineRule="auto"/>
              <w:rPr>
                <w:b/>
                <w:bCs/>
              </w:rPr>
            </w:pPr>
          </w:p>
        </w:tc>
      </w:tr>
      <w:tr w:rsidR="00D83265" w:rsidRPr="000F2C83" w14:paraId="56DB70F0" w14:textId="77777777" w:rsidTr="00DE731D">
        <w:trPr>
          <w:trHeight w:val="288"/>
        </w:trPr>
        <w:tc>
          <w:tcPr>
            <w:tcW w:w="4815" w:type="dxa"/>
            <w:gridSpan w:val="2"/>
          </w:tcPr>
          <w:p w14:paraId="0275DC56" w14:textId="77777777" w:rsidR="00D83265" w:rsidRPr="00E67369" w:rsidRDefault="00D83265" w:rsidP="00060593">
            <w:pPr>
              <w:spacing w:after="200" w:line="276" w:lineRule="auto"/>
              <w:jc w:val="right"/>
            </w:pPr>
            <w:r w:rsidRPr="00E67369">
              <w:t>Zodpovědná osoba za vyplnění (jméno, kontakt):</w:t>
            </w:r>
          </w:p>
        </w:tc>
        <w:tc>
          <w:tcPr>
            <w:tcW w:w="10342" w:type="dxa"/>
            <w:gridSpan w:val="5"/>
            <w:noWrap/>
          </w:tcPr>
          <w:p w14:paraId="7E928A95" w14:textId="77777777" w:rsidR="00D83265" w:rsidRPr="00E67369" w:rsidRDefault="00D83265" w:rsidP="00060593">
            <w:pPr>
              <w:spacing w:after="200" w:line="276" w:lineRule="auto"/>
            </w:pPr>
          </w:p>
        </w:tc>
      </w:tr>
      <w:tr w:rsidR="00D83265" w:rsidRPr="000F2C83" w14:paraId="51F26118" w14:textId="77777777" w:rsidTr="00DE731D">
        <w:trPr>
          <w:trHeight w:val="288"/>
        </w:trPr>
        <w:tc>
          <w:tcPr>
            <w:tcW w:w="4815" w:type="dxa"/>
            <w:gridSpan w:val="2"/>
          </w:tcPr>
          <w:p w14:paraId="3B888CDE" w14:textId="77777777" w:rsidR="00D83265" w:rsidRPr="00E67369" w:rsidRDefault="00D83265" w:rsidP="00060593">
            <w:pPr>
              <w:spacing w:after="200" w:line="276" w:lineRule="auto"/>
              <w:jc w:val="right"/>
            </w:pPr>
            <w:r w:rsidRPr="00E67369">
              <w:t xml:space="preserve">Datum vyplnění: </w:t>
            </w:r>
          </w:p>
        </w:tc>
        <w:tc>
          <w:tcPr>
            <w:tcW w:w="10342" w:type="dxa"/>
            <w:gridSpan w:val="5"/>
            <w:noWrap/>
          </w:tcPr>
          <w:p w14:paraId="0090E6C9" w14:textId="77777777" w:rsidR="00D83265" w:rsidRPr="00E67369" w:rsidRDefault="00D83265" w:rsidP="00060593">
            <w:pPr>
              <w:spacing w:after="200" w:line="276" w:lineRule="auto"/>
            </w:pPr>
          </w:p>
        </w:tc>
      </w:tr>
      <w:tr w:rsidR="00B0654B" w:rsidRPr="000F2C83" w14:paraId="05B4B31B" w14:textId="77777777" w:rsidTr="00DE731D">
        <w:trPr>
          <w:trHeight w:val="321"/>
        </w:trPr>
        <w:tc>
          <w:tcPr>
            <w:tcW w:w="4815" w:type="dxa"/>
            <w:gridSpan w:val="2"/>
          </w:tcPr>
          <w:p w14:paraId="2B3DA8EF" w14:textId="2B56DE7C" w:rsidR="00B0654B" w:rsidRPr="00B0654B" w:rsidRDefault="00B0654B" w:rsidP="00060593">
            <w:pPr>
              <w:spacing w:after="200" w:line="276" w:lineRule="auto"/>
              <w:jc w:val="right"/>
            </w:pPr>
            <w:r w:rsidRPr="0036051C">
              <w:rPr>
                <w:b/>
                <w:bCs/>
              </w:rPr>
              <w:t>Vyhodnocení</w:t>
            </w:r>
            <w:r w:rsidR="000F3938" w:rsidRPr="0036051C">
              <w:rPr>
                <w:b/>
                <w:bCs/>
              </w:rPr>
              <w:t xml:space="preserve"> dotazníku</w:t>
            </w:r>
            <w:r w:rsidR="000F3938">
              <w:t>: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="000F3938" w:rsidRPr="000F3938">
              <w:t>vyhovující</w:t>
            </w:r>
            <w:r w:rsidR="000F3938" w:rsidRPr="000F3938">
              <w:t xml:space="preserve">, </w:t>
            </w:r>
            <w:r w:rsidR="000F3938" w:rsidRPr="000F3938">
              <w:t>podmínečně vyhovující</w:t>
            </w:r>
            <w:r w:rsidR="000F3938" w:rsidRPr="000F3938">
              <w:t xml:space="preserve">, </w:t>
            </w:r>
            <w:r w:rsidR="000F3938" w:rsidRPr="000F3938">
              <w:t>nevyhovující</w:t>
            </w:r>
            <w:r w:rsidRPr="000F3938">
              <w:rPr>
                <w:lang w:val="en-US"/>
              </w:rPr>
              <w:t>)</w:t>
            </w:r>
          </w:p>
        </w:tc>
        <w:tc>
          <w:tcPr>
            <w:tcW w:w="10342" w:type="dxa"/>
            <w:gridSpan w:val="5"/>
            <w:noWrap/>
          </w:tcPr>
          <w:p w14:paraId="7786B402" w14:textId="77777777" w:rsidR="00B0654B" w:rsidRPr="00E67369" w:rsidRDefault="00B0654B" w:rsidP="00060593">
            <w:pPr>
              <w:spacing w:after="200" w:line="276" w:lineRule="auto"/>
            </w:pPr>
          </w:p>
        </w:tc>
      </w:tr>
      <w:tr w:rsidR="00D83265" w:rsidRPr="000F2C83" w14:paraId="4ABC94DA" w14:textId="77777777" w:rsidTr="00DE731D">
        <w:trPr>
          <w:trHeight w:val="13"/>
        </w:trPr>
        <w:tc>
          <w:tcPr>
            <w:tcW w:w="15157" w:type="dxa"/>
            <w:gridSpan w:val="7"/>
          </w:tcPr>
          <w:p w14:paraId="43C1E73F" w14:textId="77777777" w:rsidR="00C824CC" w:rsidRPr="00280608" w:rsidRDefault="00C824CC" w:rsidP="00C824CC">
            <w:pPr>
              <w:rPr>
                <w:b/>
                <w:bCs/>
              </w:rPr>
            </w:pPr>
            <w:r>
              <w:rPr>
                <w:b/>
                <w:bCs/>
              </w:rPr>
              <w:t>VYHODNOCENÍ DOTAZNÍKU</w:t>
            </w:r>
          </w:p>
          <w:p w14:paraId="00D14012" w14:textId="77777777" w:rsidR="00C824CC" w:rsidRPr="00CB4BA3" w:rsidRDefault="00C824CC" w:rsidP="00C824CC">
            <w:pPr>
              <w:pStyle w:val="Odstavecseseznamem"/>
              <w:numPr>
                <w:ilvl w:val="0"/>
                <w:numId w:val="10"/>
              </w:numPr>
            </w:pPr>
            <w:r w:rsidRPr="00CB4BA3">
              <w:rPr>
                <w:b/>
                <w:bCs/>
              </w:rPr>
              <w:t>vyhovující</w:t>
            </w:r>
            <w:r w:rsidRPr="00CB4BA3">
              <w:t xml:space="preserve"> – plnění požadavků v úrovni C je méně než 25 %</w:t>
            </w:r>
          </w:p>
          <w:p w14:paraId="7693A064" w14:textId="77777777" w:rsidR="00C824CC" w:rsidRPr="00CB4BA3" w:rsidRDefault="00C824CC" w:rsidP="00C824CC">
            <w:pPr>
              <w:pStyle w:val="Odstavecseseznamem"/>
              <w:numPr>
                <w:ilvl w:val="0"/>
                <w:numId w:val="10"/>
              </w:numPr>
            </w:pPr>
            <w:r w:rsidRPr="00CB4BA3">
              <w:rPr>
                <w:b/>
                <w:bCs/>
              </w:rPr>
              <w:t>podmínečně vyhovující s akčním plánem</w:t>
            </w:r>
            <w:r w:rsidRPr="00CB4BA3">
              <w:t xml:space="preserve"> – plnění požadavků v úrovni C je více než 25 % a méně než 75 % </w:t>
            </w:r>
          </w:p>
          <w:p w14:paraId="6084339A" w14:textId="1840FF5F" w:rsidR="00A96F60" w:rsidRPr="00E723CF" w:rsidRDefault="00C824CC" w:rsidP="00E723CF">
            <w:pPr>
              <w:pStyle w:val="Odstavecseseznamem"/>
              <w:numPr>
                <w:ilvl w:val="0"/>
                <w:numId w:val="10"/>
              </w:numPr>
              <w:spacing w:after="200" w:line="276" w:lineRule="auto"/>
              <w:rPr>
                <w:b/>
                <w:bCs/>
              </w:rPr>
            </w:pPr>
            <w:r w:rsidRPr="00E723CF">
              <w:rPr>
                <w:b/>
                <w:bCs/>
              </w:rPr>
              <w:t>nevyhovující</w:t>
            </w:r>
            <w:r w:rsidRPr="00CB4BA3">
              <w:t xml:space="preserve"> – požadavky v úrovni C o více než 75 %. Spolupráce s tímto dodavatelem je možná pouze ve výjimečných odůvodněných případech s nutným omezeným sdílení dat klasifikovaných stupněm důvěrné.</w:t>
            </w:r>
          </w:p>
        </w:tc>
      </w:tr>
      <w:tr w:rsidR="00280608" w:rsidRPr="000F2C83" w14:paraId="6971E10D" w14:textId="77777777" w:rsidTr="00DE731D">
        <w:trPr>
          <w:trHeight w:val="1611"/>
        </w:trPr>
        <w:tc>
          <w:tcPr>
            <w:tcW w:w="15157" w:type="dxa"/>
            <w:gridSpan w:val="7"/>
          </w:tcPr>
          <w:p w14:paraId="15EF7370" w14:textId="77777777" w:rsidR="00C824CC" w:rsidRPr="00E85896" w:rsidRDefault="00C824CC" w:rsidP="00C824CC">
            <w:pPr>
              <w:spacing w:after="200" w:line="276" w:lineRule="auto"/>
              <w:rPr>
                <w:b/>
                <w:bCs/>
              </w:rPr>
            </w:pPr>
            <w:r w:rsidRPr="00E85896">
              <w:rPr>
                <w:b/>
                <w:bCs/>
              </w:rPr>
              <w:t>ČESTNÉ PROHLÁŠENÍ</w:t>
            </w:r>
          </w:p>
          <w:p w14:paraId="1E2C41AB" w14:textId="77777777" w:rsidR="00C824CC" w:rsidRDefault="00C824CC" w:rsidP="00C824CC">
            <w:pPr>
              <w:spacing w:after="200" w:line="276" w:lineRule="auto"/>
            </w:pPr>
            <w:r>
              <w:t xml:space="preserve">Výše zmíněná zodpovědná osoba, jako oprávněný zástupce dodavatele, čestně prohlašuje, že údaje v dotazníku níže odpovídají reálnému stavu ve společnosti dodavatele ke dni vyplnění dotazníku. Správnost těchto údajů je možné na vyžádání případně doložit zástupci SOR, případně ověřit provedením zákaznického auditu SOR u zákazníka, a to v době před uzavřením závazku nebo kdykoli v době jeho trvání. </w:t>
            </w:r>
          </w:p>
          <w:p w14:paraId="682E7193" w14:textId="77777777" w:rsidR="006C20A3" w:rsidRDefault="006C20A3" w:rsidP="006C20A3"/>
          <w:p w14:paraId="0A5BE311" w14:textId="77777777" w:rsidR="006C20A3" w:rsidRDefault="006C20A3" w:rsidP="006C20A3"/>
          <w:p w14:paraId="09144398" w14:textId="422549D7" w:rsidR="00CF1F16" w:rsidRPr="002B3B72" w:rsidRDefault="006C20A3" w:rsidP="006C20A3">
            <w:r>
              <w:t xml:space="preserve">                                                               </w:t>
            </w:r>
            <w:r w:rsidR="00C824CC">
              <w:t xml:space="preserve">V </w:t>
            </w:r>
            <w:r w:rsidR="00DE731D">
              <w:t>…………………..</w:t>
            </w:r>
            <w:r w:rsidR="00C824CC">
              <w:t xml:space="preserve">, dne </w:t>
            </w:r>
            <w:r w:rsidR="00DE731D">
              <w:t>………………….</w:t>
            </w:r>
            <w:r>
              <w:t xml:space="preserve">                       </w:t>
            </w:r>
            <w:r w:rsidR="00C824CC">
              <w:t>kvalifikovaný elektronický podpis / vlastnoruční podpis oprávněné osoby.</w:t>
            </w:r>
          </w:p>
        </w:tc>
      </w:tr>
      <w:tr w:rsidR="00EB2739" w:rsidRPr="00F37215" w14:paraId="3724E3FC" w14:textId="77777777" w:rsidTr="00DE731D">
        <w:trPr>
          <w:trHeight w:val="20"/>
        </w:trPr>
        <w:tc>
          <w:tcPr>
            <w:tcW w:w="4813" w:type="dxa"/>
            <w:gridSpan w:val="2"/>
            <w:vMerge w:val="restart"/>
            <w:shd w:val="clear" w:color="auto" w:fill="D9E2F3" w:themeFill="accent1" w:themeFillTint="33"/>
            <w:vAlign w:val="center"/>
            <w:hideMark/>
          </w:tcPr>
          <w:p w14:paraId="3859A250" w14:textId="2B8E8B2F" w:rsidR="00EB2739" w:rsidRPr="00F37215" w:rsidRDefault="00EB2739" w:rsidP="00F37215">
            <w:pPr>
              <w:rPr>
                <w:b/>
                <w:bCs/>
              </w:rPr>
            </w:pPr>
            <w:r w:rsidRPr="00F37215">
              <w:rPr>
                <w:b/>
                <w:bCs/>
              </w:rPr>
              <w:t>Oblast, požadavek</w:t>
            </w:r>
          </w:p>
        </w:tc>
        <w:tc>
          <w:tcPr>
            <w:tcW w:w="7084" w:type="dxa"/>
            <w:gridSpan w:val="3"/>
            <w:shd w:val="clear" w:color="auto" w:fill="D9E2F3" w:themeFill="accent1" w:themeFillTint="33"/>
            <w:vAlign w:val="center"/>
          </w:tcPr>
          <w:p w14:paraId="682D8B0B" w14:textId="77777777" w:rsidR="00EB2739" w:rsidRPr="00F37215" w:rsidRDefault="00EB2739" w:rsidP="00F37215">
            <w:pPr>
              <w:jc w:val="center"/>
              <w:rPr>
                <w:b/>
                <w:bCs/>
              </w:rPr>
            </w:pPr>
            <w:r w:rsidRPr="00F37215">
              <w:rPr>
                <w:b/>
                <w:bCs/>
              </w:rPr>
              <w:t>Dosažená úroveň (A, B, C)</w:t>
            </w:r>
          </w:p>
        </w:tc>
        <w:tc>
          <w:tcPr>
            <w:tcW w:w="3260" w:type="dxa"/>
            <w:gridSpan w:val="2"/>
            <w:shd w:val="clear" w:color="auto" w:fill="D9E2F3" w:themeFill="accent1" w:themeFillTint="33"/>
            <w:vAlign w:val="center"/>
          </w:tcPr>
          <w:p w14:paraId="52BAD9B6" w14:textId="77777777" w:rsidR="003E7773" w:rsidRDefault="00814F57" w:rsidP="00F37215">
            <w:pPr>
              <w:rPr>
                <w:b/>
                <w:bCs/>
              </w:rPr>
            </w:pPr>
            <w:r w:rsidRPr="00814F57">
              <w:rPr>
                <w:b/>
                <w:bCs/>
              </w:rPr>
              <w:t>Dosažená úroveň (A, B, C)</w:t>
            </w:r>
            <w:r w:rsidR="003E7773">
              <w:rPr>
                <w:b/>
                <w:bCs/>
              </w:rPr>
              <w:t>,</w:t>
            </w:r>
          </w:p>
          <w:p w14:paraId="363C01FC" w14:textId="3C845E73" w:rsidR="00EB2739" w:rsidRPr="00F37215" w:rsidRDefault="003E7773" w:rsidP="00F3721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EB2739" w:rsidRPr="00F37215">
              <w:rPr>
                <w:b/>
                <w:bCs/>
              </w:rPr>
              <w:t>oznámka k plnění požadavku</w:t>
            </w:r>
          </w:p>
        </w:tc>
      </w:tr>
      <w:tr w:rsidR="00DB5250" w:rsidRPr="000F2C83" w14:paraId="2A6E4C85" w14:textId="77777777" w:rsidTr="00DE731D">
        <w:trPr>
          <w:trHeight w:val="20"/>
        </w:trPr>
        <w:tc>
          <w:tcPr>
            <w:tcW w:w="4813" w:type="dxa"/>
            <w:gridSpan w:val="2"/>
            <w:vMerge/>
          </w:tcPr>
          <w:p w14:paraId="1D4B004F" w14:textId="77777777" w:rsidR="00DB5250" w:rsidRPr="000F2C83" w:rsidRDefault="00DB5250" w:rsidP="00060593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F2F2F2" w:themeFill="background1" w:themeFillShade="F2"/>
            <w:noWrap/>
            <w:vAlign w:val="center"/>
          </w:tcPr>
          <w:p w14:paraId="61578E4B" w14:textId="77777777" w:rsidR="00DB5250" w:rsidRPr="000F2C83" w:rsidRDefault="00DB5250" w:rsidP="00F37215">
            <w:pPr>
              <w:jc w:val="center"/>
            </w:pPr>
            <w:r>
              <w:t>A</w:t>
            </w: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14:paraId="76FACAE7" w14:textId="77777777" w:rsidR="00DB5250" w:rsidRPr="000F2C83" w:rsidRDefault="00DB5250" w:rsidP="00F37215">
            <w:pPr>
              <w:jc w:val="center"/>
            </w:pPr>
            <w:r>
              <w:t>B</w:t>
            </w:r>
          </w:p>
        </w:tc>
        <w:tc>
          <w:tcPr>
            <w:tcW w:w="2292" w:type="dxa"/>
            <w:shd w:val="clear" w:color="auto" w:fill="F2F2F2" w:themeFill="background1" w:themeFillShade="F2"/>
            <w:vAlign w:val="center"/>
          </w:tcPr>
          <w:p w14:paraId="0E470332" w14:textId="77777777" w:rsidR="00DB5250" w:rsidRPr="000F2C83" w:rsidRDefault="00DB5250" w:rsidP="00F37215">
            <w:pPr>
              <w:jc w:val="center"/>
            </w:pPr>
            <w:r>
              <w:t>C</w:t>
            </w:r>
          </w:p>
        </w:tc>
        <w:tc>
          <w:tcPr>
            <w:tcW w:w="3260" w:type="dxa"/>
            <w:gridSpan w:val="2"/>
          </w:tcPr>
          <w:p w14:paraId="52127DBB" w14:textId="77777777" w:rsidR="00DB5250" w:rsidRPr="000F2C83" w:rsidRDefault="00DB5250" w:rsidP="00F37215">
            <w:pPr>
              <w:jc w:val="center"/>
            </w:pPr>
          </w:p>
        </w:tc>
      </w:tr>
      <w:tr w:rsidR="00D83265" w:rsidRPr="000F2C83" w14:paraId="45A08CDE" w14:textId="77777777" w:rsidTr="00DE731D">
        <w:trPr>
          <w:gridAfter w:val="1"/>
          <w:wAfter w:w="7" w:type="dxa"/>
          <w:trHeight w:val="17"/>
        </w:trPr>
        <w:tc>
          <w:tcPr>
            <w:tcW w:w="15150" w:type="dxa"/>
            <w:gridSpan w:val="6"/>
            <w:shd w:val="clear" w:color="auto" w:fill="F2F2F2" w:themeFill="background1" w:themeFillShade="F2"/>
          </w:tcPr>
          <w:p w14:paraId="647A5F22" w14:textId="77777777" w:rsidR="00D83265" w:rsidRPr="00F37215" w:rsidRDefault="00D83265" w:rsidP="00F37215">
            <w:pPr>
              <w:rPr>
                <w:b/>
                <w:bCs/>
              </w:rPr>
            </w:pPr>
            <w:r w:rsidRPr="00F37215">
              <w:rPr>
                <w:b/>
                <w:bCs/>
              </w:rPr>
              <w:t>A. STANDARDY</w:t>
            </w:r>
          </w:p>
        </w:tc>
      </w:tr>
      <w:tr w:rsidR="00D83265" w:rsidRPr="000F2C83" w14:paraId="0373CDA3" w14:textId="77777777" w:rsidTr="00DE731D">
        <w:trPr>
          <w:gridAfter w:val="1"/>
          <w:wAfter w:w="7" w:type="dxa"/>
          <w:trHeight w:val="321"/>
        </w:trPr>
        <w:tc>
          <w:tcPr>
            <w:tcW w:w="438" w:type="dxa"/>
            <w:noWrap/>
            <w:hideMark/>
          </w:tcPr>
          <w:p w14:paraId="3B49019B" w14:textId="77777777" w:rsidR="00D83265" w:rsidRPr="000F2C83" w:rsidRDefault="00D83265" w:rsidP="00844172">
            <w:r w:rsidRPr="000F2C83">
              <w:t>1</w:t>
            </w:r>
          </w:p>
        </w:tc>
        <w:tc>
          <w:tcPr>
            <w:tcW w:w="14712" w:type="dxa"/>
            <w:gridSpan w:val="5"/>
            <w:hideMark/>
          </w:tcPr>
          <w:p w14:paraId="7ACF72CB" w14:textId="77777777" w:rsidR="00D83265" w:rsidRPr="000F2C83" w:rsidRDefault="00D83265" w:rsidP="00844172">
            <w:r w:rsidRPr="000F2C83">
              <w:t xml:space="preserve">Aplikuje </w:t>
            </w:r>
            <w:r>
              <w:t>dodavatel v praxi požadavky níže uvedeného standardu</w:t>
            </w:r>
            <w:r w:rsidRPr="000F2C83">
              <w:t>?</w:t>
            </w:r>
          </w:p>
        </w:tc>
      </w:tr>
      <w:tr w:rsidR="009C0679" w:rsidRPr="000F2C83" w14:paraId="70F08C9C" w14:textId="77777777" w:rsidTr="00DE731D">
        <w:trPr>
          <w:trHeight w:val="17"/>
        </w:trPr>
        <w:tc>
          <w:tcPr>
            <w:tcW w:w="438" w:type="dxa"/>
            <w:noWrap/>
          </w:tcPr>
          <w:p w14:paraId="410F4BBA" w14:textId="14BFBC0F" w:rsidR="009C0679" w:rsidRPr="000F2C83" w:rsidRDefault="009C0679" w:rsidP="00844172">
            <w:r>
              <w:t>a.</w:t>
            </w:r>
          </w:p>
        </w:tc>
        <w:tc>
          <w:tcPr>
            <w:tcW w:w="4375" w:type="dxa"/>
          </w:tcPr>
          <w:p w14:paraId="02D8FA49" w14:textId="1815144F" w:rsidR="009C0679" w:rsidRPr="000F2C83" w:rsidRDefault="009C0679" w:rsidP="00844172">
            <w:r>
              <w:t xml:space="preserve">Shoda s </w:t>
            </w:r>
            <w:r w:rsidRPr="00BA7930">
              <w:t>U</w:t>
            </w:r>
            <w:r>
              <w:t>N</w:t>
            </w:r>
            <w:r w:rsidRPr="00BA7930">
              <w:t xml:space="preserve"> </w:t>
            </w:r>
            <w:proofErr w:type="spellStart"/>
            <w:r w:rsidRPr="00BA7930">
              <w:t>Regulation</w:t>
            </w:r>
            <w:proofErr w:type="spellEnd"/>
            <w:r w:rsidRPr="00BA7930">
              <w:t xml:space="preserve"> No. 155</w:t>
            </w:r>
            <w:r>
              <w:t>, 156</w:t>
            </w:r>
          </w:p>
        </w:tc>
        <w:tc>
          <w:tcPr>
            <w:tcW w:w="2503" w:type="dxa"/>
            <w:noWrap/>
          </w:tcPr>
          <w:p w14:paraId="59068295" w14:textId="2F3AA21C" w:rsidR="009C0679" w:rsidRDefault="009C0679" w:rsidP="00844172">
            <w:r>
              <w:t>Ano, certifikováno</w:t>
            </w:r>
          </w:p>
        </w:tc>
        <w:tc>
          <w:tcPr>
            <w:tcW w:w="2289" w:type="dxa"/>
          </w:tcPr>
          <w:p w14:paraId="69CC7395" w14:textId="7769E7E2" w:rsidR="009C0679" w:rsidRDefault="009C0679" w:rsidP="00844172">
            <w:r>
              <w:t>Ano, necertifikováno</w:t>
            </w:r>
          </w:p>
        </w:tc>
        <w:tc>
          <w:tcPr>
            <w:tcW w:w="2292" w:type="dxa"/>
          </w:tcPr>
          <w:p w14:paraId="637B09B9" w14:textId="34F1AF88" w:rsidR="009C0679" w:rsidRDefault="009C0679" w:rsidP="00844172">
            <w:r>
              <w:t>Ne</w:t>
            </w:r>
          </w:p>
        </w:tc>
        <w:tc>
          <w:tcPr>
            <w:tcW w:w="3260" w:type="dxa"/>
            <w:gridSpan w:val="2"/>
          </w:tcPr>
          <w:p w14:paraId="27728F4F" w14:textId="77777777" w:rsidR="009C0679" w:rsidRPr="000F2C83" w:rsidRDefault="009C0679" w:rsidP="00844172"/>
        </w:tc>
      </w:tr>
      <w:tr w:rsidR="009C0679" w:rsidRPr="000F2C83" w14:paraId="149CB6B1" w14:textId="77777777" w:rsidTr="00DE731D">
        <w:trPr>
          <w:trHeight w:val="288"/>
        </w:trPr>
        <w:tc>
          <w:tcPr>
            <w:tcW w:w="438" w:type="dxa"/>
            <w:noWrap/>
            <w:hideMark/>
          </w:tcPr>
          <w:p w14:paraId="0CA48B4F" w14:textId="435F8197" w:rsidR="009C0679" w:rsidRPr="000F2C83" w:rsidRDefault="009C0679" w:rsidP="00844172">
            <w:r>
              <w:t>b</w:t>
            </w:r>
            <w:r w:rsidRPr="000F2C83">
              <w:t>.</w:t>
            </w:r>
          </w:p>
        </w:tc>
        <w:tc>
          <w:tcPr>
            <w:tcW w:w="4375" w:type="dxa"/>
            <w:hideMark/>
          </w:tcPr>
          <w:p w14:paraId="1F8105CE" w14:textId="77777777" w:rsidR="009C0679" w:rsidRPr="000F2C83" w:rsidRDefault="009C0679" w:rsidP="00844172">
            <w:r w:rsidRPr="000F2C83">
              <w:t>ISO/IEC 27001</w:t>
            </w:r>
          </w:p>
        </w:tc>
        <w:tc>
          <w:tcPr>
            <w:tcW w:w="2503" w:type="dxa"/>
            <w:noWrap/>
            <w:hideMark/>
          </w:tcPr>
          <w:p w14:paraId="33C87AD7" w14:textId="77777777" w:rsidR="009C0679" w:rsidRPr="000F2C83" w:rsidRDefault="009C0679" w:rsidP="00844172">
            <w:r>
              <w:t>Ano, certifikováno</w:t>
            </w:r>
          </w:p>
        </w:tc>
        <w:tc>
          <w:tcPr>
            <w:tcW w:w="2289" w:type="dxa"/>
          </w:tcPr>
          <w:p w14:paraId="2D1D5D21" w14:textId="77777777" w:rsidR="009C0679" w:rsidRPr="000F2C83" w:rsidRDefault="009C0679" w:rsidP="00844172">
            <w:r>
              <w:t>Ano, necertifikováno</w:t>
            </w:r>
          </w:p>
        </w:tc>
        <w:tc>
          <w:tcPr>
            <w:tcW w:w="2292" w:type="dxa"/>
          </w:tcPr>
          <w:p w14:paraId="5A8A785A" w14:textId="77777777" w:rsidR="009C0679" w:rsidRPr="000F2C83" w:rsidRDefault="009C0679" w:rsidP="00844172">
            <w:r>
              <w:t>Ne</w:t>
            </w:r>
          </w:p>
        </w:tc>
        <w:tc>
          <w:tcPr>
            <w:tcW w:w="3260" w:type="dxa"/>
            <w:gridSpan w:val="2"/>
          </w:tcPr>
          <w:p w14:paraId="3A2ABCE0" w14:textId="77777777" w:rsidR="009C0679" w:rsidRPr="000F2C83" w:rsidRDefault="009C0679" w:rsidP="00844172"/>
        </w:tc>
      </w:tr>
      <w:tr w:rsidR="009C0679" w:rsidRPr="000F2C83" w14:paraId="5665F4CC" w14:textId="77777777" w:rsidTr="00DE731D">
        <w:trPr>
          <w:trHeight w:val="288"/>
        </w:trPr>
        <w:tc>
          <w:tcPr>
            <w:tcW w:w="438" w:type="dxa"/>
            <w:noWrap/>
          </w:tcPr>
          <w:p w14:paraId="5B196B8E" w14:textId="615A851A" w:rsidR="009C0679" w:rsidRPr="000F2C83" w:rsidRDefault="009C0679" w:rsidP="00844172">
            <w:r>
              <w:t>c.</w:t>
            </w:r>
          </w:p>
        </w:tc>
        <w:tc>
          <w:tcPr>
            <w:tcW w:w="4375" w:type="dxa"/>
          </w:tcPr>
          <w:p w14:paraId="79401CD2" w14:textId="77777777" w:rsidR="009C0679" w:rsidRPr="000F2C83" w:rsidRDefault="009C0679" w:rsidP="00844172">
            <w:r>
              <w:t>ISO</w:t>
            </w:r>
            <w:r w:rsidRPr="000F2C83">
              <w:t>/</w:t>
            </w:r>
            <w:r>
              <w:t>SAE 21434</w:t>
            </w:r>
          </w:p>
        </w:tc>
        <w:tc>
          <w:tcPr>
            <w:tcW w:w="2503" w:type="dxa"/>
            <w:noWrap/>
          </w:tcPr>
          <w:p w14:paraId="2B9E9642" w14:textId="77777777" w:rsidR="009C0679" w:rsidRPr="000F2C83" w:rsidRDefault="009C0679" w:rsidP="00844172">
            <w:r>
              <w:t>Ano, certifikováno</w:t>
            </w:r>
          </w:p>
        </w:tc>
        <w:tc>
          <w:tcPr>
            <w:tcW w:w="2289" w:type="dxa"/>
          </w:tcPr>
          <w:p w14:paraId="7DF72017" w14:textId="77777777" w:rsidR="009C0679" w:rsidRPr="000F2C83" w:rsidRDefault="009C0679" w:rsidP="00844172">
            <w:r>
              <w:t>Ano, necertifikováno</w:t>
            </w:r>
          </w:p>
        </w:tc>
        <w:tc>
          <w:tcPr>
            <w:tcW w:w="2292" w:type="dxa"/>
          </w:tcPr>
          <w:p w14:paraId="0C970274" w14:textId="77777777" w:rsidR="009C0679" w:rsidRPr="000F2C83" w:rsidRDefault="009C0679" w:rsidP="00844172">
            <w:r>
              <w:t>Ne</w:t>
            </w:r>
          </w:p>
        </w:tc>
        <w:tc>
          <w:tcPr>
            <w:tcW w:w="3260" w:type="dxa"/>
            <w:gridSpan w:val="2"/>
          </w:tcPr>
          <w:p w14:paraId="47B3C3A9" w14:textId="77777777" w:rsidR="009C0679" w:rsidRPr="000F2C83" w:rsidRDefault="009C0679" w:rsidP="00844172"/>
        </w:tc>
      </w:tr>
      <w:tr w:rsidR="009C0679" w:rsidRPr="000F2C83" w14:paraId="5B877B9D" w14:textId="77777777" w:rsidTr="00DE731D">
        <w:trPr>
          <w:trHeight w:val="288"/>
        </w:trPr>
        <w:tc>
          <w:tcPr>
            <w:tcW w:w="438" w:type="dxa"/>
            <w:noWrap/>
          </w:tcPr>
          <w:p w14:paraId="15482AF4" w14:textId="080CFC72" w:rsidR="009C0679" w:rsidRDefault="009C0679" w:rsidP="00844172">
            <w:r>
              <w:t>d.</w:t>
            </w:r>
          </w:p>
        </w:tc>
        <w:tc>
          <w:tcPr>
            <w:tcW w:w="4375" w:type="dxa"/>
          </w:tcPr>
          <w:p w14:paraId="0CA4836C" w14:textId="6C5FFEC9" w:rsidR="009C0679" w:rsidRDefault="009C0679" w:rsidP="00844172">
            <w:r>
              <w:t>TISAX</w:t>
            </w:r>
          </w:p>
        </w:tc>
        <w:tc>
          <w:tcPr>
            <w:tcW w:w="2503" w:type="dxa"/>
            <w:noWrap/>
          </w:tcPr>
          <w:p w14:paraId="1E52833A" w14:textId="57AB73F9" w:rsidR="009C0679" w:rsidRDefault="009C0679" w:rsidP="00844172">
            <w:r>
              <w:t>Ano, certifikováno</w:t>
            </w:r>
          </w:p>
        </w:tc>
        <w:tc>
          <w:tcPr>
            <w:tcW w:w="2289" w:type="dxa"/>
          </w:tcPr>
          <w:p w14:paraId="5E811C5D" w14:textId="2913F96A" w:rsidR="009C0679" w:rsidRDefault="009C0679" w:rsidP="00844172">
            <w:r>
              <w:t>Ano, necertifikováno</w:t>
            </w:r>
          </w:p>
        </w:tc>
        <w:tc>
          <w:tcPr>
            <w:tcW w:w="2292" w:type="dxa"/>
          </w:tcPr>
          <w:p w14:paraId="1A2A02E4" w14:textId="7F23F2EE" w:rsidR="009C0679" w:rsidRDefault="009C0679" w:rsidP="00844172">
            <w:r>
              <w:t>Ne</w:t>
            </w:r>
          </w:p>
        </w:tc>
        <w:tc>
          <w:tcPr>
            <w:tcW w:w="3260" w:type="dxa"/>
            <w:gridSpan w:val="2"/>
          </w:tcPr>
          <w:p w14:paraId="7C2CBE25" w14:textId="77777777" w:rsidR="009C0679" w:rsidRPr="000F2C83" w:rsidRDefault="009C0679" w:rsidP="00844172"/>
        </w:tc>
      </w:tr>
      <w:tr w:rsidR="009C0679" w:rsidRPr="000F2C83" w14:paraId="79E123F4" w14:textId="77777777" w:rsidTr="00DE731D">
        <w:trPr>
          <w:trHeight w:val="288"/>
        </w:trPr>
        <w:tc>
          <w:tcPr>
            <w:tcW w:w="438" w:type="dxa"/>
            <w:noWrap/>
          </w:tcPr>
          <w:p w14:paraId="206D1E1D" w14:textId="4B50931F" w:rsidR="009C0679" w:rsidRPr="000F2C83" w:rsidRDefault="009C0679" w:rsidP="00844172">
            <w:r>
              <w:t>e.</w:t>
            </w:r>
          </w:p>
        </w:tc>
        <w:tc>
          <w:tcPr>
            <w:tcW w:w="4375" w:type="dxa"/>
          </w:tcPr>
          <w:p w14:paraId="1528F682" w14:textId="34B8FA8F" w:rsidR="009C0679" w:rsidRPr="000F2C83" w:rsidRDefault="009C0679" w:rsidP="00844172">
            <w:r>
              <w:t>NIS2</w:t>
            </w:r>
          </w:p>
        </w:tc>
        <w:tc>
          <w:tcPr>
            <w:tcW w:w="2503" w:type="dxa"/>
            <w:noWrap/>
          </w:tcPr>
          <w:p w14:paraId="5F85A700" w14:textId="6B492DDC" w:rsidR="009C0679" w:rsidRPr="000F2C83" w:rsidRDefault="009C0679" w:rsidP="00844172">
            <w:r>
              <w:t>Ano, jsme zařazeni pod dohledem národního orgánu</w:t>
            </w:r>
          </w:p>
        </w:tc>
        <w:tc>
          <w:tcPr>
            <w:tcW w:w="2289" w:type="dxa"/>
          </w:tcPr>
          <w:p w14:paraId="256499AC" w14:textId="02BF01B1" w:rsidR="009C0679" w:rsidRPr="000F2C83" w:rsidRDefault="009C0679" w:rsidP="00844172">
            <w:r>
              <w:t>Nejsme zařazeni, ale plníme všechny podmínky NIS2</w:t>
            </w:r>
          </w:p>
        </w:tc>
        <w:tc>
          <w:tcPr>
            <w:tcW w:w="2292" w:type="dxa"/>
          </w:tcPr>
          <w:p w14:paraId="1F6819D4" w14:textId="77777777" w:rsidR="009C0679" w:rsidRPr="000F2C83" w:rsidRDefault="009C0679" w:rsidP="00844172">
            <w:r>
              <w:t>Ne</w:t>
            </w:r>
          </w:p>
        </w:tc>
        <w:tc>
          <w:tcPr>
            <w:tcW w:w="3260" w:type="dxa"/>
            <w:gridSpan w:val="2"/>
          </w:tcPr>
          <w:p w14:paraId="3EFFE42B" w14:textId="77777777" w:rsidR="009C0679" w:rsidRPr="000F2C83" w:rsidRDefault="009C0679" w:rsidP="00844172"/>
        </w:tc>
      </w:tr>
      <w:tr w:rsidR="00885D76" w:rsidRPr="000F2C83" w14:paraId="2385BD4E" w14:textId="77777777" w:rsidTr="00DE731D">
        <w:trPr>
          <w:gridAfter w:val="1"/>
          <w:wAfter w:w="7" w:type="dxa"/>
          <w:trHeight w:val="148"/>
        </w:trPr>
        <w:tc>
          <w:tcPr>
            <w:tcW w:w="15150" w:type="dxa"/>
            <w:gridSpan w:val="6"/>
            <w:noWrap/>
          </w:tcPr>
          <w:p w14:paraId="417EB67D" w14:textId="352BBC3E" w:rsidR="007739AC" w:rsidRDefault="00885D76" w:rsidP="00844172">
            <w:r>
              <w:t>V případě, že bylo odpovězeno alespoň na jednu z předchozích otázek odpovědí ve sloupci A, prosíme o dodání certifikátu nebo jiného dokladu, není dále třeba pokračovat ve vyplňování dotazníku.</w:t>
            </w:r>
          </w:p>
          <w:p w14:paraId="1D716D95" w14:textId="6243769A" w:rsidR="00885D76" w:rsidRPr="000F2C83" w:rsidRDefault="00885D76" w:rsidP="00844172">
            <w:r>
              <w:t>Pokud nebyla dosažena úroveň A alespoň u jedné otázky, prosím pokračujte ve vyplňování následujícího dotazníku.</w:t>
            </w:r>
          </w:p>
        </w:tc>
      </w:tr>
    </w:tbl>
    <w:p w14:paraId="4955121E" w14:textId="77777777" w:rsidR="00BF4C5F" w:rsidRDefault="00BF4C5F">
      <w:r>
        <w:br w:type="page"/>
      </w:r>
    </w:p>
    <w:tbl>
      <w:tblPr>
        <w:tblStyle w:val="Mkatabulky"/>
        <w:tblW w:w="15163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39"/>
        <w:gridCol w:w="4375"/>
        <w:gridCol w:w="2503"/>
        <w:gridCol w:w="2289"/>
        <w:gridCol w:w="2292"/>
        <w:gridCol w:w="3253"/>
        <w:gridCol w:w="12"/>
      </w:tblGrid>
      <w:tr w:rsidR="00140507" w:rsidRPr="000F2C83" w14:paraId="5B5B301C" w14:textId="77777777" w:rsidTr="00F85A66">
        <w:trPr>
          <w:gridAfter w:val="1"/>
          <w:wAfter w:w="12" w:type="dxa"/>
          <w:trHeight w:val="300"/>
        </w:trPr>
        <w:tc>
          <w:tcPr>
            <w:tcW w:w="15151" w:type="dxa"/>
            <w:gridSpan w:val="6"/>
            <w:shd w:val="clear" w:color="auto" w:fill="F2F2F2" w:themeFill="background1" w:themeFillShade="F2"/>
            <w:hideMark/>
          </w:tcPr>
          <w:p w14:paraId="4D2D3BC7" w14:textId="263E9133" w:rsidR="00140507" w:rsidRPr="000F2C83" w:rsidRDefault="00140507" w:rsidP="0014050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0F2C83">
              <w:rPr>
                <w:b/>
                <w:bCs/>
              </w:rPr>
              <w:t>ZÁKLADNÍ OPATŘENÍ</w:t>
            </w:r>
          </w:p>
        </w:tc>
      </w:tr>
      <w:tr w:rsidR="00470730" w:rsidRPr="000F2C83" w14:paraId="73A8DC32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545194D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2</w:t>
            </w:r>
          </w:p>
        </w:tc>
        <w:tc>
          <w:tcPr>
            <w:tcW w:w="4375" w:type="dxa"/>
            <w:hideMark/>
          </w:tcPr>
          <w:p w14:paraId="58C6C5F4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Má </w:t>
            </w:r>
            <w:r>
              <w:t>dodavatel</w:t>
            </w:r>
            <w:r w:rsidRPr="000F2C83">
              <w:t xml:space="preserve"> manažera kybernetické bezpečnosti nebo jinou určenou osobu s ekvivalentní odpovědností?</w:t>
            </w:r>
          </w:p>
        </w:tc>
        <w:tc>
          <w:tcPr>
            <w:tcW w:w="2503" w:type="dxa"/>
            <w:noWrap/>
          </w:tcPr>
          <w:p w14:paraId="5CA50C0A" w14:textId="77777777" w:rsidR="00470730" w:rsidRPr="000F2C83" w:rsidRDefault="00470730" w:rsidP="00140507">
            <w:pPr>
              <w:spacing w:after="200" w:line="276" w:lineRule="auto"/>
            </w:pPr>
            <w:r>
              <w:t>Ano, oddělená definovaná role</w:t>
            </w:r>
          </w:p>
        </w:tc>
        <w:tc>
          <w:tcPr>
            <w:tcW w:w="2289" w:type="dxa"/>
          </w:tcPr>
          <w:p w14:paraId="42CBB2C6" w14:textId="77777777" w:rsidR="00470730" w:rsidRPr="000F2C83" w:rsidRDefault="00470730" w:rsidP="00140507">
            <w:pPr>
              <w:spacing w:after="200" w:line="276" w:lineRule="auto"/>
            </w:pPr>
            <w:r>
              <w:t>Ne, spadá pod IT, bez popisu role</w:t>
            </w:r>
          </w:p>
        </w:tc>
        <w:tc>
          <w:tcPr>
            <w:tcW w:w="2292" w:type="dxa"/>
          </w:tcPr>
          <w:p w14:paraId="1B96394A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11EE07AB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7BCDA16C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30146965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3</w:t>
            </w:r>
          </w:p>
        </w:tc>
        <w:tc>
          <w:tcPr>
            <w:tcW w:w="4375" w:type="dxa"/>
            <w:hideMark/>
          </w:tcPr>
          <w:p w14:paraId="1A1C0BA7" w14:textId="77777777" w:rsidR="00470730" w:rsidRPr="000F2C83" w:rsidRDefault="00470730" w:rsidP="00140507">
            <w:pPr>
              <w:spacing w:after="200" w:line="276" w:lineRule="auto"/>
            </w:pPr>
            <w:r>
              <w:t>Je u dodavatele prováděn</w:t>
            </w:r>
            <w:r w:rsidRPr="000F2C83">
              <w:t xml:space="preserve"> audit či analýza, jejichž obsahem </w:t>
            </w:r>
            <w:r>
              <w:t>je</w:t>
            </w:r>
            <w:r w:rsidRPr="000F2C83">
              <w:t xml:space="preserve"> kontrola v oblasti kybernetické bezpečnosti?</w:t>
            </w:r>
          </w:p>
        </w:tc>
        <w:tc>
          <w:tcPr>
            <w:tcW w:w="2503" w:type="dxa"/>
            <w:noWrap/>
          </w:tcPr>
          <w:p w14:paraId="40F7D5D7" w14:textId="77777777" w:rsidR="00470730" w:rsidRPr="000F2C83" w:rsidRDefault="00470730" w:rsidP="00140507">
            <w:pPr>
              <w:spacing w:after="200" w:line="276" w:lineRule="auto"/>
            </w:pPr>
            <w:r>
              <w:t>Ano, prováděna pravidelně</w:t>
            </w:r>
          </w:p>
        </w:tc>
        <w:tc>
          <w:tcPr>
            <w:tcW w:w="2289" w:type="dxa"/>
          </w:tcPr>
          <w:p w14:paraId="7ED38094" w14:textId="77777777" w:rsidR="00470730" w:rsidRPr="000F2C83" w:rsidRDefault="00470730" w:rsidP="00140507">
            <w:pPr>
              <w:spacing w:after="200" w:line="276" w:lineRule="auto"/>
            </w:pPr>
            <w:r>
              <w:t>Ano, prováděna náhodně nebo nepravidelně</w:t>
            </w:r>
          </w:p>
        </w:tc>
        <w:tc>
          <w:tcPr>
            <w:tcW w:w="2292" w:type="dxa"/>
          </w:tcPr>
          <w:p w14:paraId="12F8A80D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6FD28F3A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BAA7537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1AB6A818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4</w:t>
            </w:r>
          </w:p>
        </w:tc>
        <w:tc>
          <w:tcPr>
            <w:tcW w:w="4375" w:type="dxa"/>
            <w:hideMark/>
          </w:tcPr>
          <w:p w14:paraId="6C5B5DEF" w14:textId="77777777" w:rsidR="00470730" w:rsidRPr="000F2C83" w:rsidRDefault="00470730" w:rsidP="00140507">
            <w:pPr>
              <w:spacing w:after="200" w:line="276" w:lineRule="auto"/>
            </w:pPr>
            <w:r>
              <w:t xml:space="preserve">Provádí dodavatel </w:t>
            </w:r>
            <w:r w:rsidRPr="000F2C83">
              <w:t>hodnocení rizik v oblasti kybernetické bezpečnosti?</w:t>
            </w:r>
          </w:p>
        </w:tc>
        <w:tc>
          <w:tcPr>
            <w:tcW w:w="2503" w:type="dxa"/>
            <w:noWrap/>
          </w:tcPr>
          <w:p w14:paraId="082F8307" w14:textId="77777777" w:rsidR="00470730" w:rsidRPr="000F2C83" w:rsidRDefault="00470730" w:rsidP="00140507">
            <w:pPr>
              <w:spacing w:after="200" w:line="276" w:lineRule="auto"/>
            </w:pPr>
            <w:r>
              <w:t>Ano, pravidelně, analýza rizik udržována</w:t>
            </w:r>
          </w:p>
        </w:tc>
        <w:tc>
          <w:tcPr>
            <w:tcW w:w="2289" w:type="dxa"/>
          </w:tcPr>
          <w:p w14:paraId="21C257EC" w14:textId="77777777" w:rsidR="00470730" w:rsidRPr="000F2C83" w:rsidRDefault="00470730" w:rsidP="00140507">
            <w:pPr>
              <w:spacing w:after="200" w:line="276" w:lineRule="auto"/>
            </w:pPr>
            <w:r>
              <w:t>Ano, v minulosti provedena jednorázově</w:t>
            </w:r>
          </w:p>
        </w:tc>
        <w:tc>
          <w:tcPr>
            <w:tcW w:w="2292" w:type="dxa"/>
          </w:tcPr>
          <w:p w14:paraId="37B3AAF0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6FA79921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140507" w:rsidRPr="000F2C83" w14:paraId="2A68F354" w14:textId="77777777" w:rsidTr="00F85A66">
        <w:trPr>
          <w:gridAfter w:val="1"/>
          <w:wAfter w:w="12" w:type="dxa"/>
          <w:trHeight w:val="407"/>
        </w:trPr>
        <w:tc>
          <w:tcPr>
            <w:tcW w:w="439" w:type="dxa"/>
            <w:shd w:val="clear" w:color="auto" w:fill="F2F2F2" w:themeFill="background1" w:themeFillShade="F2"/>
            <w:noWrap/>
            <w:hideMark/>
          </w:tcPr>
          <w:p w14:paraId="255F6A84" w14:textId="77777777" w:rsidR="00140507" w:rsidRPr="000F2C83" w:rsidRDefault="00140507" w:rsidP="00140507">
            <w:pPr>
              <w:spacing w:after="200" w:line="276" w:lineRule="auto"/>
            </w:pPr>
            <w:r w:rsidRPr="000F2C83">
              <w:t>5</w:t>
            </w:r>
          </w:p>
        </w:tc>
        <w:tc>
          <w:tcPr>
            <w:tcW w:w="14712" w:type="dxa"/>
            <w:gridSpan w:val="5"/>
            <w:shd w:val="clear" w:color="auto" w:fill="F2F2F2" w:themeFill="background1" w:themeFillShade="F2"/>
            <w:hideMark/>
          </w:tcPr>
          <w:p w14:paraId="588611E2" w14:textId="77777777" w:rsidR="00140507" w:rsidRPr="000F2C83" w:rsidRDefault="00140507" w:rsidP="00140507">
            <w:pPr>
              <w:spacing w:after="200" w:line="276" w:lineRule="auto"/>
            </w:pPr>
            <w:r w:rsidRPr="000F2C83">
              <w:t xml:space="preserve">Které oblasti pokrývá </w:t>
            </w:r>
            <w:r>
              <w:t>řídící dokumentace (</w:t>
            </w:r>
            <w:r w:rsidRPr="000F2C83">
              <w:t>bezpečnostní politiky,</w:t>
            </w:r>
            <w:r>
              <w:t xml:space="preserve"> směrnice využívání ICT, …) </w:t>
            </w:r>
            <w:r w:rsidRPr="000F2C83">
              <w:t xml:space="preserve"> pokud takov</w:t>
            </w:r>
            <w:r>
              <w:t>á</w:t>
            </w:r>
            <w:r w:rsidRPr="000F2C83">
              <w:t xml:space="preserve"> dokument</w:t>
            </w:r>
            <w:r>
              <w:t>ace</w:t>
            </w:r>
            <w:r w:rsidRPr="000F2C83">
              <w:t xml:space="preserve"> u </w:t>
            </w:r>
            <w:r>
              <w:t xml:space="preserve">dodavatele </w:t>
            </w:r>
            <w:r w:rsidRPr="000F2C83">
              <w:t>existuje?</w:t>
            </w:r>
          </w:p>
        </w:tc>
      </w:tr>
      <w:tr w:rsidR="00470730" w:rsidRPr="000F2C83" w14:paraId="27A3712D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174BAA65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a.</w:t>
            </w:r>
          </w:p>
        </w:tc>
        <w:tc>
          <w:tcPr>
            <w:tcW w:w="4375" w:type="dxa"/>
            <w:hideMark/>
          </w:tcPr>
          <w:p w14:paraId="4CD4A61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Procesy řízení rizik</w:t>
            </w:r>
          </w:p>
        </w:tc>
        <w:tc>
          <w:tcPr>
            <w:tcW w:w="2503" w:type="dxa"/>
            <w:noWrap/>
          </w:tcPr>
          <w:p w14:paraId="14F5233E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1B55B54D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42191228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1073056A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7DA948E9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443991A1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b.</w:t>
            </w:r>
          </w:p>
        </w:tc>
        <w:tc>
          <w:tcPr>
            <w:tcW w:w="4375" w:type="dxa"/>
            <w:hideMark/>
          </w:tcPr>
          <w:p w14:paraId="6F94B5D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Klasifikace aktiv</w:t>
            </w:r>
          </w:p>
        </w:tc>
        <w:tc>
          <w:tcPr>
            <w:tcW w:w="2503" w:type="dxa"/>
            <w:noWrap/>
          </w:tcPr>
          <w:p w14:paraId="3711BA19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3E1D309E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0DEE795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4173419F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27E652CA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625F038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c.</w:t>
            </w:r>
          </w:p>
        </w:tc>
        <w:tc>
          <w:tcPr>
            <w:tcW w:w="4375" w:type="dxa"/>
            <w:hideMark/>
          </w:tcPr>
          <w:p w14:paraId="72187AF5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dat proti prozrazení, zničení, narušení integrity a dostupnosti</w:t>
            </w:r>
          </w:p>
        </w:tc>
        <w:tc>
          <w:tcPr>
            <w:tcW w:w="2503" w:type="dxa"/>
            <w:noWrap/>
          </w:tcPr>
          <w:p w14:paraId="30320C6E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0B13A285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B4E7188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779EF33D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AE90127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4A02CAF3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d.</w:t>
            </w:r>
          </w:p>
        </w:tc>
        <w:tc>
          <w:tcPr>
            <w:tcW w:w="4375" w:type="dxa"/>
            <w:hideMark/>
          </w:tcPr>
          <w:p w14:paraId="6830B5A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osobních dat</w:t>
            </w:r>
          </w:p>
        </w:tc>
        <w:tc>
          <w:tcPr>
            <w:tcW w:w="2503" w:type="dxa"/>
            <w:noWrap/>
          </w:tcPr>
          <w:p w14:paraId="2FB4A3CD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3FFCBFCC" w14:textId="77777777" w:rsidR="00470730" w:rsidRPr="000F2C83" w:rsidRDefault="00470730" w:rsidP="00140507">
            <w:pPr>
              <w:spacing w:after="200" w:line="276" w:lineRule="auto"/>
            </w:pPr>
            <w:r>
              <w:t>Jen rozsah dle GDPR</w:t>
            </w:r>
          </w:p>
        </w:tc>
        <w:tc>
          <w:tcPr>
            <w:tcW w:w="2292" w:type="dxa"/>
          </w:tcPr>
          <w:p w14:paraId="5E56C428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1D77E06A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31945D99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77DDE2F2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e.</w:t>
            </w:r>
          </w:p>
        </w:tc>
        <w:tc>
          <w:tcPr>
            <w:tcW w:w="4375" w:type="dxa"/>
            <w:hideMark/>
          </w:tcPr>
          <w:p w14:paraId="16585D72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Identifikace a autentizace uživatelů</w:t>
            </w:r>
          </w:p>
        </w:tc>
        <w:tc>
          <w:tcPr>
            <w:tcW w:w="2503" w:type="dxa"/>
            <w:noWrap/>
          </w:tcPr>
          <w:p w14:paraId="570597E2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0CA09F28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9068425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0A56735D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4F016CCD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23D793D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f.</w:t>
            </w:r>
          </w:p>
        </w:tc>
        <w:tc>
          <w:tcPr>
            <w:tcW w:w="4375" w:type="dxa"/>
            <w:hideMark/>
          </w:tcPr>
          <w:p w14:paraId="20508AF6" w14:textId="77777777" w:rsidR="00470730" w:rsidRPr="000F2C83" w:rsidRDefault="00470730" w:rsidP="00140507">
            <w:pPr>
              <w:spacing w:after="200" w:line="276" w:lineRule="auto"/>
            </w:pPr>
            <w:r>
              <w:t>Řízení přístupů k datům na základě práv</w:t>
            </w:r>
          </w:p>
        </w:tc>
        <w:tc>
          <w:tcPr>
            <w:tcW w:w="2503" w:type="dxa"/>
            <w:noWrap/>
          </w:tcPr>
          <w:p w14:paraId="4CEFB4A4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2F1D70A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32D35DD8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070E69E7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F886BB2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4B7E2E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g.</w:t>
            </w:r>
          </w:p>
        </w:tc>
        <w:tc>
          <w:tcPr>
            <w:tcW w:w="4375" w:type="dxa"/>
            <w:hideMark/>
          </w:tcPr>
          <w:p w14:paraId="1D89212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Řízení privilegovaných přístupů</w:t>
            </w:r>
          </w:p>
        </w:tc>
        <w:tc>
          <w:tcPr>
            <w:tcW w:w="2503" w:type="dxa"/>
            <w:noWrap/>
          </w:tcPr>
          <w:p w14:paraId="30CA599F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5DDCEAEC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7F2D487B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2041989C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67CB2705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7F984907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h.</w:t>
            </w:r>
          </w:p>
        </w:tc>
        <w:tc>
          <w:tcPr>
            <w:tcW w:w="4375" w:type="dxa"/>
            <w:hideMark/>
          </w:tcPr>
          <w:p w14:paraId="103688A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Ochrana koncových stanic </w:t>
            </w:r>
          </w:p>
        </w:tc>
        <w:tc>
          <w:tcPr>
            <w:tcW w:w="2503" w:type="dxa"/>
            <w:noWrap/>
          </w:tcPr>
          <w:p w14:paraId="17264DDC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3385B1D0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2B033794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56A735E3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38B1B9A8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77A4D7A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i.</w:t>
            </w:r>
          </w:p>
        </w:tc>
        <w:tc>
          <w:tcPr>
            <w:tcW w:w="4375" w:type="dxa"/>
            <w:hideMark/>
          </w:tcPr>
          <w:p w14:paraId="09F351D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mobilních zařízení a vzdáleného přístupu</w:t>
            </w:r>
          </w:p>
        </w:tc>
        <w:tc>
          <w:tcPr>
            <w:tcW w:w="2503" w:type="dxa"/>
            <w:noWrap/>
          </w:tcPr>
          <w:p w14:paraId="56980D02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237E663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558E2394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649163E2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E127F15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152C32BB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j.</w:t>
            </w:r>
          </w:p>
        </w:tc>
        <w:tc>
          <w:tcPr>
            <w:tcW w:w="4375" w:type="dxa"/>
            <w:hideMark/>
          </w:tcPr>
          <w:p w14:paraId="5BA2FB76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Ochrana emailu a vnitrofiremní komunikace (instant </w:t>
            </w:r>
            <w:proofErr w:type="spellStart"/>
            <w:r w:rsidRPr="000F2C83">
              <w:t>messaging</w:t>
            </w:r>
            <w:proofErr w:type="spellEnd"/>
            <w:r w:rsidRPr="000F2C83">
              <w:t>)</w:t>
            </w:r>
          </w:p>
        </w:tc>
        <w:tc>
          <w:tcPr>
            <w:tcW w:w="2503" w:type="dxa"/>
            <w:noWrap/>
          </w:tcPr>
          <w:p w14:paraId="1695BB4E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093F6639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604145BD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54C17E2E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2D0E91DC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46A21056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k.</w:t>
            </w:r>
          </w:p>
        </w:tc>
        <w:tc>
          <w:tcPr>
            <w:tcW w:w="4375" w:type="dxa"/>
            <w:hideMark/>
          </w:tcPr>
          <w:p w14:paraId="5259869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přístupu do internetu</w:t>
            </w:r>
          </w:p>
        </w:tc>
        <w:tc>
          <w:tcPr>
            <w:tcW w:w="2503" w:type="dxa"/>
            <w:noWrap/>
          </w:tcPr>
          <w:p w14:paraId="4F8C1B8D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4D09D6E0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D85235F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7C644095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60108066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22FE76F8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l.</w:t>
            </w:r>
          </w:p>
        </w:tc>
        <w:tc>
          <w:tcPr>
            <w:tcW w:w="4375" w:type="dxa"/>
            <w:hideMark/>
          </w:tcPr>
          <w:p w14:paraId="1726DDF7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výměnných médií</w:t>
            </w:r>
          </w:p>
        </w:tc>
        <w:tc>
          <w:tcPr>
            <w:tcW w:w="2503" w:type="dxa"/>
            <w:noWrap/>
          </w:tcPr>
          <w:p w14:paraId="491E065A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1FE67853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67A2C285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1C8CC93A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6E9193B2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741AAA15" w14:textId="5F745FB4" w:rsidR="00470730" w:rsidRPr="000F2C83" w:rsidRDefault="00470730" w:rsidP="00140507">
            <w:pPr>
              <w:spacing w:after="200" w:line="276" w:lineRule="auto"/>
            </w:pPr>
            <w:r w:rsidRPr="000F2C83">
              <w:t>m</w:t>
            </w:r>
            <w:r>
              <w:t>.</w:t>
            </w:r>
          </w:p>
        </w:tc>
        <w:tc>
          <w:tcPr>
            <w:tcW w:w="4375" w:type="dxa"/>
            <w:hideMark/>
          </w:tcPr>
          <w:p w14:paraId="3DFBF073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Procesy řízení změn</w:t>
            </w:r>
          </w:p>
        </w:tc>
        <w:tc>
          <w:tcPr>
            <w:tcW w:w="2503" w:type="dxa"/>
            <w:noWrap/>
          </w:tcPr>
          <w:p w14:paraId="05443955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5582548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419B05DC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78C9BE2C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71E81FF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61DBFB4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n.</w:t>
            </w:r>
          </w:p>
        </w:tc>
        <w:tc>
          <w:tcPr>
            <w:tcW w:w="4375" w:type="dxa"/>
            <w:hideMark/>
          </w:tcPr>
          <w:p w14:paraId="4F4427D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bezdrátových sítí a komunikace</w:t>
            </w:r>
          </w:p>
        </w:tc>
        <w:tc>
          <w:tcPr>
            <w:tcW w:w="2503" w:type="dxa"/>
            <w:noWrap/>
          </w:tcPr>
          <w:p w14:paraId="04B83FEA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B78B652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50F7381D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5A9B692B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5C44CA10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86DD248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o.</w:t>
            </w:r>
          </w:p>
        </w:tc>
        <w:tc>
          <w:tcPr>
            <w:tcW w:w="4375" w:type="dxa"/>
            <w:hideMark/>
          </w:tcPr>
          <w:p w14:paraId="7828C1E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Fyzická bezpečnost informačních aktiv</w:t>
            </w:r>
          </w:p>
        </w:tc>
        <w:tc>
          <w:tcPr>
            <w:tcW w:w="2503" w:type="dxa"/>
            <w:noWrap/>
          </w:tcPr>
          <w:p w14:paraId="4EA4ED5A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8327588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32D3A219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6810817F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3708A9BB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5608BB5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p.</w:t>
            </w:r>
          </w:p>
        </w:tc>
        <w:tc>
          <w:tcPr>
            <w:tcW w:w="4375" w:type="dxa"/>
            <w:hideMark/>
          </w:tcPr>
          <w:p w14:paraId="280848F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Bezpečnostní školení koncových uživatelů a administrátorů</w:t>
            </w:r>
          </w:p>
        </w:tc>
        <w:tc>
          <w:tcPr>
            <w:tcW w:w="2503" w:type="dxa"/>
            <w:noWrap/>
          </w:tcPr>
          <w:p w14:paraId="60E4A47E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3E875169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684B089A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0E92F689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237CD412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62643B1B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q.</w:t>
            </w:r>
          </w:p>
        </w:tc>
        <w:tc>
          <w:tcPr>
            <w:tcW w:w="4375" w:type="dxa"/>
            <w:hideMark/>
          </w:tcPr>
          <w:p w14:paraId="3A3C6249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proti škodlivému softwaru</w:t>
            </w:r>
          </w:p>
        </w:tc>
        <w:tc>
          <w:tcPr>
            <w:tcW w:w="2503" w:type="dxa"/>
            <w:noWrap/>
          </w:tcPr>
          <w:p w14:paraId="39935E71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659AD94F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08F97C0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3CE7CBA9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43969F06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6E08538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r.</w:t>
            </w:r>
          </w:p>
        </w:tc>
        <w:tc>
          <w:tcPr>
            <w:tcW w:w="4375" w:type="dxa"/>
            <w:hideMark/>
          </w:tcPr>
          <w:p w14:paraId="6E635E2D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Ochrana při výměně dat</w:t>
            </w:r>
          </w:p>
        </w:tc>
        <w:tc>
          <w:tcPr>
            <w:tcW w:w="2503" w:type="dxa"/>
            <w:noWrap/>
          </w:tcPr>
          <w:p w14:paraId="7520E452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09E42749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10C3DAFD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66A78498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48FD8E0B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45F80ED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s.</w:t>
            </w:r>
          </w:p>
        </w:tc>
        <w:tc>
          <w:tcPr>
            <w:tcW w:w="4375" w:type="dxa"/>
            <w:hideMark/>
          </w:tcPr>
          <w:p w14:paraId="5EE1AC1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Procesy zvládání kybernetických incidentů</w:t>
            </w:r>
          </w:p>
        </w:tc>
        <w:tc>
          <w:tcPr>
            <w:tcW w:w="2503" w:type="dxa"/>
            <w:noWrap/>
          </w:tcPr>
          <w:p w14:paraId="129487DD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672CED05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418DBA73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4AEEDF69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D3D8C94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423F201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t.</w:t>
            </w:r>
          </w:p>
        </w:tc>
        <w:tc>
          <w:tcPr>
            <w:tcW w:w="4375" w:type="dxa"/>
            <w:hideMark/>
          </w:tcPr>
          <w:p w14:paraId="0ABF52B3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Procesy řízení rizik dodavatelů</w:t>
            </w:r>
          </w:p>
        </w:tc>
        <w:tc>
          <w:tcPr>
            <w:tcW w:w="2503" w:type="dxa"/>
            <w:noWrap/>
          </w:tcPr>
          <w:p w14:paraId="68D45AEA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35B0C48F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59717DF6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2402DF4F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90ECFA5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5D46CA0D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u.</w:t>
            </w:r>
          </w:p>
        </w:tc>
        <w:tc>
          <w:tcPr>
            <w:tcW w:w="4375" w:type="dxa"/>
            <w:hideMark/>
          </w:tcPr>
          <w:p w14:paraId="7FC24F14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Bezpečnost lidských zdrojů</w:t>
            </w:r>
          </w:p>
        </w:tc>
        <w:tc>
          <w:tcPr>
            <w:tcW w:w="2503" w:type="dxa"/>
            <w:noWrap/>
          </w:tcPr>
          <w:p w14:paraId="5C60A3DB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027AF07D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41689C6A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319054B7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0FEA39B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18409448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v.</w:t>
            </w:r>
          </w:p>
        </w:tc>
        <w:tc>
          <w:tcPr>
            <w:tcW w:w="4375" w:type="dxa"/>
            <w:hideMark/>
          </w:tcPr>
          <w:p w14:paraId="00854F7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Bezpečnostní audity a analýzy</w:t>
            </w:r>
          </w:p>
        </w:tc>
        <w:tc>
          <w:tcPr>
            <w:tcW w:w="2503" w:type="dxa"/>
            <w:noWrap/>
          </w:tcPr>
          <w:p w14:paraId="15477D9A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72AA34D7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06BA14C8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642BD7B2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A934D95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43D71FE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w.</w:t>
            </w:r>
          </w:p>
        </w:tc>
        <w:tc>
          <w:tcPr>
            <w:tcW w:w="4375" w:type="dxa"/>
            <w:hideMark/>
          </w:tcPr>
          <w:p w14:paraId="2EF02D1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Řízení kontinuity činností a havarijní plánování</w:t>
            </w:r>
          </w:p>
        </w:tc>
        <w:tc>
          <w:tcPr>
            <w:tcW w:w="2503" w:type="dxa"/>
            <w:noWrap/>
          </w:tcPr>
          <w:p w14:paraId="4EFEFC43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7206A90" w14:textId="77777777" w:rsidR="00470730" w:rsidRPr="000F2C83" w:rsidRDefault="00470730" w:rsidP="00140507">
            <w:pPr>
              <w:spacing w:after="200" w:line="276" w:lineRule="auto"/>
            </w:pPr>
            <w:r>
              <w:t>Částečně řešeno</w:t>
            </w:r>
          </w:p>
        </w:tc>
        <w:tc>
          <w:tcPr>
            <w:tcW w:w="2292" w:type="dxa"/>
          </w:tcPr>
          <w:p w14:paraId="21A4D016" w14:textId="77777777" w:rsidR="00470730" w:rsidRPr="000F2C83" w:rsidRDefault="00470730" w:rsidP="00140507">
            <w:pPr>
              <w:spacing w:after="200" w:line="276" w:lineRule="auto"/>
            </w:pPr>
            <w:r>
              <w:t>Neřešeno</w:t>
            </w:r>
          </w:p>
        </w:tc>
        <w:tc>
          <w:tcPr>
            <w:tcW w:w="3265" w:type="dxa"/>
            <w:gridSpan w:val="2"/>
          </w:tcPr>
          <w:p w14:paraId="1801DD4B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140507" w:rsidRPr="000F2C83" w14:paraId="39F51127" w14:textId="77777777" w:rsidTr="00F85A66">
        <w:trPr>
          <w:gridAfter w:val="1"/>
          <w:wAfter w:w="12" w:type="dxa"/>
          <w:trHeight w:val="300"/>
        </w:trPr>
        <w:tc>
          <w:tcPr>
            <w:tcW w:w="15151" w:type="dxa"/>
            <w:gridSpan w:val="6"/>
            <w:shd w:val="clear" w:color="auto" w:fill="F2F2F2" w:themeFill="background1" w:themeFillShade="F2"/>
            <w:hideMark/>
          </w:tcPr>
          <w:p w14:paraId="2013FD9C" w14:textId="77777777" w:rsidR="00140507" w:rsidRPr="000F2C83" w:rsidRDefault="00140507" w:rsidP="0014050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0F2C83">
              <w:rPr>
                <w:b/>
                <w:bCs/>
              </w:rPr>
              <w:t>BEZPEČNOSTNÍ TECHNOLOGIE</w:t>
            </w:r>
          </w:p>
        </w:tc>
      </w:tr>
      <w:tr w:rsidR="00140507" w:rsidRPr="000F2C83" w14:paraId="3CA5837B" w14:textId="77777777" w:rsidTr="00F85A66">
        <w:trPr>
          <w:gridAfter w:val="1"/>
          <w:wAfter w:w="12" w:type="dxa"/>
          <w:trHeight w:val="675"/>
        </w:trPr>
        <w:tc>
          <w:tcPr>
            <w:tcW w:w="439" w:type="dxa"/>
            <w:shd w:val="clear" w:color="auto" w:fill="F2F2F2" w:themeFill="background1" w:themeFillShade="F2"/>
            <w:noWrap/>
            <w:hideMark/>
          </w:tcPr>
          <w:p w14:paraId="099FE9F3" w14:textId="77777777" w:rsidR="00140507" w:rsidRPr="000F2C83" w:rsidRDefault="00140507" w:rsidP="00140507">
            <w:pPr>
              <w:spacing w:after="200" w:line="276" w:lineRule="auto"/>
            </w:pPr>
            <w:r w:rsidRPr="000F2C83">
              <w:t>6</w:t>
            </w:r>
          </w:p>
        </w:tc>
        <w:tc>
          <w:tcPr>
            <w:tcW w:w="14712" w:type="dxa"/>
            <w:gridSpan w:val="5"/>
            <w:shd w:val="clear" w:color="auto" w:fill="F2F2F2" w:themeFill="background1" w:themeFillShade="F2"/>
            <w:hideMark/>
          </w:tcPr>
          <w:p w14:paraId="56DECE84" w14:textId="77777777" w:rsidR="00140507" w:rsidRPr="000F2C83" w:rsidRDefault="00140507" w:rsidP="00140507">
            <w:pPr>
              <w:spacing w:after="200" w:line="276" w:lineRule="auto"/>
            </w:pPr>
            <w:r w:rsidRPr="000F2C83">
              <w:t xml:space="preserve">Které níže uvedené bezpečnostní technologie </w:t>
            </w:r>
            <w:r>
              <w:t xml:space="preserve">dodavatel </w:t>
            </w:r>
            <w:r w:rsidRPr="000F2C83">
              <w:t>provozuje s cílem předcházet bezpečnostním hrozbám ve vztahu k</w:t>
            </w:r>
            <w:r>
              <w:t> </w:t>
            </w:r>
            <w:r w:rsidRPr="000F2C83">
              <w:t>datům</w:t>
            </w:r>
            <w:r>
              <w:t xml:space="preserve">, vývoji SW nebo </w:t>
            </w:r>
            <w:r w:rsidRPr="000F2C83">
              <w:t>informačním systémům?</w:t>
            </w:r>
          </w:p>
        </w:tc>
      </w:tr>
      <w:tr w:rsidR="00470730" w:rsidRPr="000F2C83" w14:paraId="425D6B8E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34B1E43E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a.</w:t>
            </w:r>
          </w:p>
        </w:tc>
        <w:tc>
          <w:tcPr>
            <w:tcW w:w="4375" w:type="dxa"/>
            <w:hideMark/>
          </w:tcPr>
          <w:p w14:paraId="278E0135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Antivirový software na pracovních stanicích</w:t>
            </w:r>
          </w:p>
        </w:tc>
        <w:tc>
          <w:tcPr>
            <w:tcW w:w="2503" w:type="dxa"/>
            <w:noWrap/>
          </w:tcPr>
          <w:p w14:paraId="0DD10A33" w14:textId="77777777" w:rsidR="00470730" w:rsidRPr="000F2C83" w:rsidRDefault="00470730" w:rsidP="00140507">
            <w:pPr>
              <w:spacing w:after="200" w:line="276" w:lineRule="auto"/>
            </w:pPr>
            <w:r>
              <w:t>Ano, komplexní řešení</w:t>
            </w:r>
          </w:p>
        </w:tc>
        <w:tc>
          <w:tcPr>
            <w:tcW w:w="2289" w:type="dxa"/>
          </w:tcPr>
          <w:p w14:paraId="278105FE" w14:textId="77777777" w:rsidR="00470730" w:rsidRPr="000F2C83" w:rsidRDefault="00470730" w:rsidP="00140507">
            <w:pPr>
              <w:spacing w:after="200" w:line="276" w:lineRule="auto"/>
            </w:pPr>
            <w:r>
              <w:t xml:space="preserve">Ano, základní řešení (Windows </w:t>
            </w:r>
            <w:proofErr w:type="spellStart"/>
            <w:r>
              <w:t>Defender</w:t>
            </w:r>
            <w:proofErr w:type="spellEnd"/>
            <w:r>
              <w:t>)</w:t>
            </w:r>
          </w:p>
        </w:tc>
        <w:tc>
          <w:tcPr>
            <w:tcW w:w="2292" w:type="dxa"/>
          </w:tcPr>
          <w:p w14:paraId="1BCFB558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09880611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3089900F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14F3F4F7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b.</w:t>
            </w:r>
          </w:p>
        </w:tc>
        <w:tc>
          <w:tcPr>
            <w:tcW w:w="4375" w:type="dxa"/>
            <w:hideMark/>
          </w:tcPr>
          <w:p w14:paraId="6E095B0E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Antivirový software na mobilních zařízeních</w:t>
            </w:r>
          </w:p>
        </w:tc>
        <w:tc>
          <w:tcPr>
            <w:tcW w:w="2503" w:type="dxa"/>
            <w:noWrap/>
          </w:tcPr>
          <w:p w14:paraId="77F7122E" w14:textId="77777777" w:rsidR="00470730" w:rsidRPr="000F2C83" w:rsidRDefault="00470730" w:rsidP="00140507">
            <w:pPr>
              <w:spacing w:after="200" w:line="276" w:lineRule="auto"/>
            </w:pPr>
            <w:r>
              <w:t>Ano, součást komplexního řešení</w:t>
            </w:r>
          </w:p>
        </w:tc>
        <w:tc>
          <w:tcPr>
            <w:tcW w:w="2289" w:type="dxa"/>
          </w:tcPr>
          <w:p w14:paraId="5C8176B4" w14:textId="77777777" w:rsidR="00470730" w:rsidRPr="000F2C83" w:rsidRDefault="00470730" w:rsidP="00140507">
            <w:pPr>
              <w:spacing w:after="200" w:line="276" w:lineRule="auto"/>
            </w:pPr>
            <w:r>
              <w:t>Ano, dle každého uživatele</w:t>
            </w:r>
          </w:p>
        </w:tc>
        <w:tc>
          <w:tcPr>
            <w:tcW w:w="2292" w:type="dxa"/>
          </w:tcPr>
          <w:p w14:paraId="6DB3CB4D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6B80354C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3BDEE8D9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28685536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c.</w:t>
            </w:r>
          </w:p>
        </w:tc>
        <w:tc>
          <w:tcPr>
            <w:tcW w:w="4375" w:type="dxa"/>
            <w:hideMark/>
          </w:tcPr>
          <w:p w14:paraId="4599B037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Nástroj pro detekci narušení sítě (IDS/IPS, </w:t>
            </w:r>
            <w:proofErr w:type="spellStart"/>
            <w:r w:rsidRPr="000F2C83">
              <w:t>Intrusion</w:t>
            </w:r>
            <w:proofErr w:type="spellEnd"/>
            <w:r w:rsidRPr="000F2C83">
              <w:t xml:space="preserve"> </w:t>
            </w:r>
            <w:proofErr w:type="spellStart"/>
            <w:r w:rsidRPr="000F2C83">
              <w:t>Detection</w:t>
            </w:r>
            <w:proofErr w:type="spellEnd"/>
            <w:r w:rsidRPr="000F2C83">
              <w:t>/</w:t>
            </w:r>
            <w:proofErr w:type="spellStart"/>
            <w:r w:rsidRPr="000F2C83">
              <w:t>Prevention</w:t>
            </w:r>
            <w:proofErr w:type="spellEnd"/>
            <w:r w:rsidRPr="000F2C83">
              <w:t xml:space="preserve"> </w:t>
            </w:r>
            <w:proofErr w:type="spellStart"/>
            <w:r w:rsidRPr="000F2C83">
              <w:t>System</w:t>
            </w:r>
            <w:proofErr w:type="spellEnd"/>
            <w:r w:rsidRPr="000F2C83">
              <w:t>)</w:t>
            </w:r>
          </w:p>
        </w:tc>
        <w:tc>
          <w:tcPr>
            <w:tcW w:w="2503" w:type="dxa"/>
            <w:noWrap/>
          </w:tcPr>
          <w:p w14:paraId="3409FF47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7E9323B3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2292" w:type="dxa"/>
          </w:tcPr>
          <w:p w14:paraId="6DCD9338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454D2706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B8B0524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7197AB3D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d.</w:t>
            </w:r>
          </w:p>
        </w:tc>
        <w:tc>
          <w:tcPr>
            <w:tcW w:w="4375" w:type="dxa"/>
            <w:hideMark/>
          </w:tcPr>
          <w:p w14:paraId="62913E44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Nástroj pro řízení privilegovaných účtů a oprávnění (PIM/PAM, </w:t>
            </w:r>
            <w:proofErr w:type="spellStart"/>
            <w:r w:rsidRPr="000F2C83">
              <w:t>Priviledge</w:t>
            </w:r>
            <w:proofErr w:type="spellEnd"/>
            <w:r w:rsidRPr="000F2C83">
              <w:t xml:space="preserve"> Identity/Access Management)</w:t>
            </w:r>
          </w:p>
        </w:tc>
        <w:tc>
          <w:tcPr>
            <w:tcW w:w="2503" w:type="dxa"/>
            <w:noWrap/>
          </w:tcPr>
          <w:p w14:paraId="790EA153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414FD933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2292" w:type="dxa"/>
          </w:tcPr>
          <w:p w14:paraId="2F4C50AC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5989839D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5C37A39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6F50E727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e.</w:t>
            </w:r>
          </w:p>
        </w:tc>
        <w:tc>
          <w:tcPr>
            <w:tcW w:w="4375" w:type="dxa"/>
            <w:hideMark/>
          </w:tcPr>
          <w:p w14:paraId="0DC0C266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Více-faktorová autentizace</w:t>
            </w:r>
          </w:p>
        </w:tc>
        <w:tc>
          <w:tcPr>
            <w:tcW w:w="2503" w:type="dxa"/>
            <w:noWrap/>
          </w:tcPr>
          <w:p w14:paraId="36EE8704" w14:textId="77777777" w:rsidR="00470730" w:rsidRPr="000F2C83" w:rsidRDefault="00470730" w:rsidP="00140507">
            <w:pPr>
              <w:spacing w:after="200" w:line="276" w:lineRule="auto"/>
            </w:pPr>
            <w:r>
              <w:t>Ano, využití mobilního zařízení nebo tokenu</w:t>
            </w:r>
          </w:p>
        </w:tc>
        <w:tc>
          <w:tcPr>
            <w:tcW w:w="2289" w:type="dxa"/>
          </w:tcPr>
          <w:p w14:paraId="77BE74A0" w14:textId="77777777" w:rsidR="00470730" w:rsidRPr="000F2C83" w:rsidRDefault="00470730" w:rsidP="00140507">
            <w:pPr>
              <w:spacing w:after="200" w:line="276" w:lineRule="auto"/>
            </w:pPr>
            <w:r>
              <w:t>Ano, bez využití mobilního zařízení nebo tokenu</w:t>
            </w:r>
          </w:p>
        </w:tc>
        <w:tc>
          <w:tcPr>
            <w:tcW w:w="2292" w:type="dxa"/>
          </w:tcPr>
          <w:p w14:paraId="608D0599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71EFC0C7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24B9E128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7348DC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f.</w:t>
            </w:r>
          </w:p>
        </w:tc>
        <w:tc>
          <w:tcPr>
            <w:tcW w:w="4375" w:type="dxa"/>
            <w:hideMark/>
          </w:tcPr>
          <w:p w14:paraId="063030E3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Automatizovaný nástroj pro řízení technologických zranitelností</w:t>
            </w:r>
          </w:p>
        </w:tc>
        <w:tc>
          <w:tcPr>
            <w:tcW w:w="2503" w:type="dxa"/>
            <w:noWrap/>
          </w:tcPr>
          <w:p w14:paraId="01D03847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C0BBE08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2292" w:type="dxa"/>
          </w:tcPr>
          <w:p w14:paraId="59860243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1260C031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590CA10B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9FF8EB5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g.</w:t>
            </w:r>
          </w:p>
        </w:tc>
        <w:tc>
          <w:tcPr>
            <w:tcW w:w="4375" w:type="dxa"/>
            <w:hideMark/>
          </w:tcPr>
          <w:p w14:paraId="2C125AB2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Nástroj pro řízení přístupu k síti (NAC, Network Access </w:t>
            </w:r>
            <w:proofErr w:type="spellStart"/>
            <w:r w:rsidRPr="000F2C83">
              <w:t>Control</w:t>
            </w:r>
            <w:proofErr w:type="spellEnd"/>
            <w:r w:rsidRPr="000F2C83">
              <w:t>)</w:t>
            </w:r>
          </w:p>
        </w:tc>
        <w:tc>
          <w:tcPr>
            <w:tcW w:w="2503" w:type="dxa"/>
            <w:noWrap/>
          </w:tcPr>
          <w:p w14:paraId="572E2732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20A27C69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2292" w:type="dxa"/>
          </w:tcPr>
          <w:p w14:paraId="148B9A6B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534A00C6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05CDBBC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548AF92A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h.</w:t>
            </w:r>
          </w:p>
        </w:tc>
        <w:tc>
          <w:tcPr>
            <w:tcW w:w="4375" w:type="dxa"/>
            <w:hideMark/>
          </w:tcPr>
          <w:p w14:paraId="728595C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Nástroj pro ochranu před útoky </w:t>
            </w:r>
            <w:proofErr w:type="spellStart"/>
            <w:r w:rsidRPr="000F2C83">
              <w:t>DDoS</w:t>
            </w:r>
            <w:proofErr w:type="spellEnd"/>
            <w:r w:rsidRPr="000F2C83">
              <w:t xml:space="preserve"> (</w:t>
            </w:r>
            <w:proofErr w:type="spellStart"/>
            <w:r w:rsidRPr="000F2C83">
              <w:t>Distributed</w:t>
            </w:r>
            <w:proofErr w:type="spellEnd"/>
            <w:r w:rsidRPr="000F2C83">
              <w:t xml:space="preserve"> </w:t>
            </w:r>
            <w:proofErr w:type="spellStart"/>
            <w:r w:rsidRPr="000F2C83">
              <w:t>denial-of-service</w:t>
            </w:r>
            <w:proofErr w:type="spellEnd"/>
            <w:r w:rsidRPr="000F2C83">
              <w:t>)</w:t>
            </w:r>
          </w:p>
        </w:tc>
        <w:tc>
          <w:tcPr>
            <w:tcW w:w="2503" w:type="dxa"/>
            <w:noWrap/>
          </w:tcPr>
          <w:p w14:paraId="09CECA42" w14:textId="77777777" w:rsidR="00470730" w:rsidRPr="000F2C83" w:rsidRDefault="00470730" w:rsidP="00140507">
            <w:pPr>
              <w:spacing w:after="200" w:line="276" w:lineRule="auto"/>
            </w:pPr>
            <w:r>
              <w:t>Ano, vč. napojení na SOC</w:t>
            </w:r>
          </w:p>
        </w:tc>
        <w:tc>
          <w:tcPr>
            <w:tcW w:w="2289" w:type="dxa"/>
          </w:tcPr>
          <w:p w14:paraId="5D3201D8" w14:textId="77777777" w:rsidR="00470730" w:rsidRPr="000F2C83" w:rsidRDefault="00470730" w:rsidP="00140507">
            <w:pPr>
              <w:spacing w:after="200" w:line="276" w:lineRule="auto"/>
            </w:pPr>
            <w:r>
              <w:t>Ano, ostrovně</w:t>
            </w:r>
          </w:p>
        </w:tc>
        <w:tc>
          <w:tcPr>
            <w:tcW w:w="2292" w:type="dxa"/>
          </w:tcPr>
          <w:p w14:paraId="627D9A54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2F08D194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6F51BCBD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05665AE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i.</w:t>
            </w:r>
          </w:p>
        </w:tc>
        <w:tc>
          <w:tcPr>
            <w:tcW w:w="4375" w:type="dxa"/>
            <w:hideMark/>
          </w:tcPr>
          <w:p w14:paraId="42BAB5E0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Šifrovací nástroje a techniky</w:t>
            </w:r>
          </w:p>
        </w:tc>
        <w:tc>
          <w:tcPr>
            <w:tcW w:w="2503" w:type="dxa"/>
            <w:noWrap/>
          </w:tcPr>
          <w:p w14:paraId="0FE025AF" w14:textId="77777777" w:rsidR="00470730" w:rsidRPr="000F2C83" w:rsidRDefault="00470730" w:rsidP="00140507">
            <w:pPr>
              <w:spacing w:after="200" w:line="276" w:lineRule="auto"/>
            </w:pPr>
            <w:r>
              <w:t>Ano, použití přesně předepsáno</w:t>
            </w:r>
          </w:p>
        </w:tc>
        <w:tc>
          <w:tcPr>
            <w:tcW w:w="2289" w:type="dxa"/>
          </w:tcPr>
          <w:p w14:paraId="25126CF6" w14:textId="77777777" w:rsidR="00470730" w:rsidRPr="000F2C83" w:rsidRDefault="00470730" w:rsidP="00140507">
            <w:pPr>
              <w:spacing w:after="200" w:line="276" w:lineRule="auto"/>
            </w:pPr>
            <w:r>
              <w:t>Ano, náhodně</w:t>
            </w:r>
          </w:p>
        </w:tc>
        <w:tc>
          <w:tcPr>
            <w:tcW w:w="2292" w:type="dxa"/>
          </w:tcPr>
          <w:p w14:paraId="4EEAF0A8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1A0C9235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06CB0C62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2DC2956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j.</w:t>
            </w:r>
          </w:p>
        </w:tc>
        <w:tc>
          <w:tcPr>
            <w:tcW w:w="4375" w:type="dxa"/>
            <w:hideMark/>
          </w:tcPr>
          <w:p w14:paraId="1CEB2654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Firewall</w:t>
            </w:r>
          </w:p>
        </w:tc>
        <w:tc>
          <w:tcPr>
            <w:tcW w:w="2503" w:type="dxa"/>
            <w:noWrap/>
          </w:tcPr>
          <w:p w14:paraId="042A330B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61F4EE42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92" w:type="dxa"/>
          </w:tcPr>
          <w:p w14:paraId="0C653BD6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1DE8CB46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17A48082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36A6B7CF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k.</w:t>
            </w:r>
          </w:p>
        </w:tc>
        <w:tc>
          <w:tcPr>
            <w:tcW w:w="4375" w:type="dxa"/>
            <w:hideMark/>
          </w:tcPr>
          <w:p w14:paraId="34E6607C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Nástroj pro vyhodnocování bezpečnostních událostí (SIEM, </w:t>
            </w:r>
            <w:proofErr w:type="spellStart"/>
            <w:r w:rsidRPr="000F2C83">
              <w:t>Security</w:t>
            </w:r>
            <w:proofErr w:type="spellEnd"/>
            <w:r w:rsidRPr="000F2C83">
              <w:t xml:space="preserve"> </w:t>
            </w:r>
            <w:proofErr w:type="spellStart"/>
            <w:r w:rsidRPr="000F2C83">
              <w:t>Informaton</w:t>
            </w:r>
            <w:proofErr w:type="spellEnd"/>
            <w:r w:rsidRPr="000F2C83">
              <w:t xml:space="preserve"> and Event Management)</w:t>
            </w:r>
          </w:p>
        </w:tc>
        <w:tc>
          <w:tcPr>
            <w:tcW w:w="2503" w:type="dxa"/>
            <w:noWrap/>
          </w:tcPr>
          <w:p w14:paraId="05103830" w14:textId="77777777" w:rsidR="00470730" w:rsidRPr="000F2C83" w:rsidRDefault="00470730" w:rsidP="00140507">
            <w:pPr>
              <w:spacing w:after="200" w:line="276" w:lineRule="auto"/>
            </w:pPr>
            <w:r>
              <w:t>Ano, včetně napojení na SOC</w:t>
            </w:r>
          </w:p>
        </w:tc>
        <w:tc>
          <w:tcPr>
            <w:tcW w:w="2289" w:type="dxa"/>
          </w:tcPr>
          <w:p w14:paraId="5A483352" w14:textId="77777777" w:rsidR="00470730" w:rsidRPr="000F2C83" w:rsidRDefault="00470730" w:rsidP="00140507">
            <w:pPr>
              <w:spacing w:after="200" w:line="276" w:lineRule="auto"/>
            </w:pPr>
            <w:r>
              <w:t>Ano, ostrovně</w:t>
            </w:r>
          </w:p>
        </w:tc>
        <w:tc>
          <w:tcPr>
            <w:tcW w:w="2292" w:type="dxa"/>
          </w:tcPr>
          <w:p w14:paraId="1EE5BF3C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0FE32238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470730" w:rsidRPr="000F2C83" w14:paraId="253433F7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1CE2BD9E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>7</w:t>
            </w:r>
          </w:p>
        </w:tc>
        <w:tc>
          <w:tcPr>
            <w:tcW w:w="4375" w:type="dxa"/>
            <w:hideMark/>
          </w:tcPr>
          <w:p w14:paraId="41910754" w14:textId="77777777" w:rsidR="00470730" w:rsidRPr="000F2C83" w:rsidRDefault="00470730" w:rsidP="00140507">
            <w:pPr>
              <w:spacing w:after="200" w:line="276" w:lineRule="auto"/>
            </w:pPr>
            <w:r w:rsidRPr="000F2C83">
              <w:t xml:space="preserve">Byly interní systémy </w:t>
            </w:r>
            <w:r>
              <w:t xml:space="preserve">dodavatele někdy </w:t>
            </w:r>
            <w:r w:rsidRPr="000F2C83">
              <w:t>podrobeny penetračnímu testování?</w:t>
            </w:r>
          </w:p>
        </w:tc>
        <w:tc>
          <w:tcPr>
            <w:tcW w:w="2503" w:type="dxa"/>
            <w:noWrap/>
          </w:tcPr>
          <w:p w14:paraId="73D2EC71" w14:textId="77777777" w:rsidR="00470730" w:rsidRPr="000F2C83" w:rsidRDefault="00470730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7DC59D76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2292" w:type="dxa"/>
          </w:tcPr>
          <w:p w14:paraId="2136C629" w14:textId="77777777" w:rsidR="00470730" w:rsidRPr="000F2C83" w:rsidRDefault="00470730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7AD70052" w14:textId="77777777" w:rsidR="00470730" w:rsidRPr="000F2C83" w:rsidRDefault="00470730" w:rsidP="00140507">
            <w:pPr>
              <w:spacing w:after="200" w:line="276" w:lineRule="auto"/>
            </w:pPr>
          </w:p>
        </w:tc>
      </w:tr>
      <w:tr w:rsidR="00140507" w:rsidRPr="000F2C83" w14:paraId="2C2A6F52" w14:textId="77777777" w:rsidTr="00F85A66">
        <w:trPr>
          <w:gridAfter w:val="1"/>
          <w:wAfter w:w="12" w:type="dxa"/>
          <w:trHeight w:val="300"/>
        </w:trPr>
        <w:tc>
          <w:tcPr>
            <w:tcW w:w="15151" w:type="dxa"/>
            <w:gridSpan w:val="6"/>
            <w:shd w:val="clear" w:color="auto" w:fill="F2F2F2" w:themeFill="background1" w:themeFillShade="F2"/>
            <w:hideMark/>
          </w:tcPr>
          <w:p w14:paraId="5EBA4D0A" w14:textId="77777777" w:rsidR="00140507" w:rsidRDefault="00140507" w:rsidP="0014050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D. ŘEŠENÍ </w:t>
            </w:r>
            <w:r w:rsidRPr="000F2C83">
              <w:rPr>
                <w:b/>
                <w:bCs/>
              </w:rPr>
              <w:t>KYBERNETICKÝCH INCIDENTŮ</w:t>
            </w:r>
          </w:p>
        </w:tc>
      </w:tr>
      <w:tr w:rsidR="00F85A66" w:rsidRPr="000F2C83" w14:paraId="7872AFDD" w14:textId="77777777" w:rsidTr="00470730">
        <w:trPr>
          <w:trHeight w:val="288"/>
        </w:trPr>
        <w:tc>
          <w:tcPr>
            <w:tcW w:w="439" w:type="dxa"/>
            <w:noWrap/>
            <w:hideMark/>
          </w:tcPr>
          <w:p w14:paraId="72FD6BD6" w14:textId="77777777" w:rsidR="00F85A66" w:rsidRPr="000F2C83" w:rsidRDefault="00F85A66" w:rsidP="00140507">
            <w:pPr>
              <w:spacing w:after="200" w:line="276" w:lineRule="auto"/>
            </w:pPr>
            <w:r w:rsidRPr="000F2C83">
              <w:t>8</w:t>
            </w:r>
          </w:p>
        </w:tc>
        <w:tc>
          <w:tcPr>
            <w:tcW w:w="4375" w:type="dxa"/>
            <w:hideMark/>
          </w:tcPr>
          <w:p w14:paraId="7F1EE2C8" w14:textId="77777777" w:rsidR="00F85A66" w:rsidRPr="000F2C83" w:rsidRDefault="00F85A66" w:rsidP="00140507">
            <w:pPr>
              <w:spacing w:after="200" w:line="276" w:lineRule="auto"/>
            </w:pPr>
            <w:r w:rsidRPr="000F2C83">
              <w:t xml:space="preserve">Má </w:t>
            </w:r>
            <w:r>
              <w:t xml:space="preserve">dodavatel </w:t>
            </w:r>
            <w:r w:rsidRPr="000F2C83">
              <w:t>zaveden proces zvládání kybernetických incidentů?</w:t>
            </w:r>
          </w:p>
        </w:tc>
        <w:tc>
          <w:tcPr>
            <w:tcW w:w="2503" w:type="dxa"/>
            <w:noWrap/>
          </w:tcPr>
          <w:p w14:paraId="5EEEFE2D" w14:textId="77777777" w:rsidR="00F85A66" w:rsidRPr="000F2C83" w:rsidRDefault="00F85A66" w:rsidP="00140507">
            <w:pPr>
              <w:spacing w:after="200" w:line="276" w:lineRule="auto"/>
            </w:pPr>
            <w:r>
              <w:t>Ano, vyhodnocovány systémově</w:t>
            </w:r>
          </w:p>
        </w:tc>
        <w:tc>
          <w:tcPr>
            <w:tcW w:w="2289" w:type="dxa"/>
          </w:tcPr>
          <w:p w14:paraId="1199F75E" w14:textId="77777777" w:rsidR="00F85A66" w:rsidRPr="000F2C83" w:rsidRDefault="00F85A66" w:rsidP="00140507">
            <w:pPr>
              <w:spacing w:after="200" w:line="276" w:lineRule="auto"/>
            </w:pPr>
            <w:r>
              <w:t>Ano, vyhodnocovány ad-hoc nebo nesystémově</w:t>
            </w:r>
          </w:p>
        </w:tc>
        <w:tc>
          <w:tcPr>
            <w:tcW w:w="2292" w:type="dxa"/>
          </w:tcPr>
          <w:p w14:paraId="5AB37DA8" w14:textId="77777777" w:rsidR="00F85A66" w:rsidRPr="000F2C83" w:rsidRDefault="00F85A66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197D56AB" w14:textId="77777777" w:rsidR="00F85A66" w:rsidRPr="000F2C83" w:rsidRDefault="00F85A66" w:rsidP="00140507">
            <w:pPr>
              <w:spacing w:after="200" w:line="276" w:lineRule="auto"/>
            </w:pPr>
          </w:p>
        </w:tc>
      </w:tr>
      <w:tr w:rsidR="00F85A66" w:rsidRPr="000F2C83" w14:paraId="66E69447" w14:textId="77777777" w:rsidTr="00470730">
        <w:trPr>
          <w:trHeight w:val="576"/>
        </w:trPr>
        <w:tc>
          <w:tcPr>
            <w:tcW w:w="439" w:type="dxa"/>
            <w:noWrap/>
            <w:hideMark/>
          </w:tcPr>
          <w:p w14:paraId="62D1B801" w14:textId="77777777" w:rsidR="00F85A66" w:rsidRPr="000F2C83" w:rsidRDefault="00F85A66" w:rsidP="00140507">
            <w:pPr>
              <w:spacing w:after="200" w:line="276" w:lineRule="auto"/>
            </w:pPr>
            <w:r w:rsidRPr="000F2C83">
              <w:t>9</w:t>
            </w:r>
          </w:p>
        </w:tc>
        <w:tc>
          <w:tcPr>
            <w:tcW w:w="4375" w:type="dxa"/>
            <w:hideMark/>
          </w:tcPr>
          <w:p w14:paraId="228CEEFC" w14:textId="77777777" w:rsidR="00F85A66" w:rsidRPr="000F2C83" w:rsidRDefault="00F85A66" w:rsidP="00140507">
            <w:pPr>
              <w:spacing w:after="200" w:line="276" w:lineRule="auto"/>
            </w:pPr>
            <w:r w:rsidRPr="000F2C83">
              <w:t xml:space="preserve">Jsou </w:t>
            </w:r>
            <w:r>
              <w:t>relevantní</w:t>
            </w:r>
            <w:r w:rsidRPr="000F2C83">
              <w:t xml:space="preserve"> pracovníci </w:t>
            </w:r>
            <w:r>
              <w:t xml:space="preserve">dodavatele </w:t>
            </w:r>
            <w:r w:rsidRPr="000F2C83">
              <w:t>vzděláván</w:t>
            </w:r>
            <w:r>
              <w:t>i</w:t>
            </w:r>
            <w:r w:rsidRPr="000F2C83">
              <w:t xml:space="preserve"> v</w:t>
            </w:r>
            <w:r>
              <w:t> oblasti rozpoznávání a reakce na kyb</w:t>
            </w:r>
            <w:r w:rsidRPr="000F2C83">
              <w:t>ernetick</w:t>
            </w:r>
            <w:r>
              <w:t>é</w:t>
            </w:r>
            <w:r w:rsidRPr="000F2C83">
              <w:t xml:space="preserve"> incident</w:t>
            </w:r>
            <w:r>
              <w:t>y</w:t>
            </w:r>
            <w:r w:rsidRPr="000F2C83">
              <w:t>?</w:t>
            </w:r>
          </w:p>
        </w:tc>
        <w:tc>
          <w:tcPr>
            <w:tcW w:w="2503" w:type="dxa"/>
            <w:noWrap/>
          </w:tcPr>
          <w:p w14:paraId="13B8ED40" w14:textId="77777777" w:rsidR="00F85A66" w:rsidRPr="000F2C83" w:rsidRDefault="00F85A66" w:rsidP="00140507">
            <w:pPr>
              <w:spacing w:after="200" w:line="276" w:lineRule="auto"/>
            </w:pPr>
            <w:r>
              <w:t>Ano, systematicky</w:t>
            </w:r>
          </w:p>
        </w:tc>
        <w:tc>
          <w:tcPr>
            <w:tcW w:w="2289" w:type="dxa"/>
          </w:tcPr>
          <w:p w14:paraId="38727077" w14:textId="77777777" w:rsidR="00F85A66" w:rsidRPr="000F2C83" w:rsidRDefault="00F85A66" w:rsidP="00140507">
            <w:pPr>
              <w:spacing w:after="200" w:line="276" w:lineRule="auto"/>
            </w:pPr>
            <w:r>
              <w:t>Ano, ale nárazově</w:t>
            </w:r>
          </w:p>
        </w:tc>
        <w:tc>
          <w:tcPr>
            <w:tcW w:w="2292" w:type="dxa"/>
          </w:tcPr>
          <w:p w14:paraId="19515242" w14:textId="77777777" w:rsidR="00F85A66" w:rsidRPr="000F2C83" w:rsidRDefault="00F85A66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694DC0B3" w14:textId="77777777" w:rsidR="00F85A66" w:rsidRPr="000F2C83" w:rsidRDefault="00F85A66" w:rsidP="00140507">
            <w:pPr>
              <w:spacing w:after="200" w:line="276" w:lineRule="auto"/>
            </w:pPr>
          </w:p>
        </w:tc>
      </w:tr>
      <w:tr w:rsidR="00140507" w:rsidRPr="000F2C83" w14:paraId="636F7FAA" w14:textId="77777777" w:rsidTr="00F85A66">
        <w:trPr>
          <w:gridAfter w:val="1"/>
          <w:wAfter w:w="12" w:type="dxa"/>
          <w:trHeight w:val="300"/>
        </w:trPr>
        <w:tc>
          <w:tcPr>
            <w:tcW w:w="15151" w:type="dxa"/>
            <w:gridSpan w:val="6"/>
            <w:shd w:val="clear" w:color="auto" w:fill="F2F2F2" w:themeFill="background1" w:themeFillShade="F2"/>
            <w:hideMark/>
          </w:tcPr>
          <w:p w14:paraId="36D34E4C" w14:textId="77777777" w:rsidR="00140507" w:rsidRDefault="00140507" w:rsidP="00140507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E. ROZVOJ BEZPEČNOSTNÍHO POVĚDOMÍ</w:t>
            </w:r>
            <w:r w:rsidRPr="000F2C83">
              <w:rPr>
                <w:b/>
                <w:bCs/>
              </w:rPr>
              <w:t>Í</w:t>
            </w:r>
          </w:p>
        </w:tc>
      </w:tr>
      <w:tr w:rsidR="00CB0DF6" w:rsidRPr="000F2C83" w14:paraId="2F19DD53" w14:textId="77777777" w:rsidTr="00F85A66">
        <w:trPr>
          <w:trHeight w:val="576"/>
        </w:trPr>
        <w:tc>
          <w:tcPr>
            <w:tcW w:w="439" w:type="dxa"/>
            <w:noWrap/>
            <w:hideMark/>
          </w:tcPr>
          <w:p w14:paraId="47819697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>10</w:t>
            </w:r>
          </w:p>
        </w:tc>
        <w:tc>
          <w:tcPr>
            <w:tcW w:w="4375" w:type="dxa"/>
            <w:hideMark/>
          </w:tcPr>
          <w:p w14:paraId="517B0608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 xml:space="preserve">Má </w:t>
            </w:r>
            <w:r>
              <w:t xml:space="preserve">dodavatel </w:t>
            </w:r>
            <w:r w:rsidRPr="000F2C83">
              <w:t>zaveden proces vzdělávání a zvyšování bezpečnostního povědomí pro pracovníky?</w:t>
            </w:r>
          </w:p>
        </w:tc>
        <w:tc>
          <w:tcPr>
            <w:tcW w:w="2503" w:type="dxa"/>
            <w:noWrap/>
          </w:tcPr>
          <w:p w14:paraId="77A33F50" w14:textId="77777777" w:rsidR="00CB0DF6" w:rsidRPr="000F2C83" w:rsidRDefault="00CB0DF6" w:rsidP="00140507">
            <w:pPr>
              <w:spacing w:after="200" w:line="276" w:lineRule="auto"/>
            </w:pPr>
            <w:r>
              <w:t>Ano, systémově řešeno</w:t>
            </w:r>
          </w:p>
        </w:tc>
        <w:tc>
          <w:tcPr>
            <w:tcW w:w="2289" w:type="dxa"/>
          </w:tcPr>
          <w:p w14:paraId="4CC0DB2B" w14:textId="77777777" w:rsidR="00CB0DF6" w:rsidRPr="000F2C83" w:rsidRDefault="00CB0DF6" w:rsidP="00140507">
            <w:pPr>
              <w:spacing w:after="200" w:line="276" w:lineRule="auto"/>
            </w:pPr>
            <w:r>
              <w:t>Nemá, jen nárazová školení</w:t>
            </w:r>
          </w:p>
        </w:tc>
        <w:tc>
          <w:tcPr>
            <w:tcW w:w="2292" w:type="dxa"/>
          </w:tcPr>
          <w:p w14:paraId="1DA4EB3F" w14:textId="77777777" w:rsidR="00CB0DF6" w:rsidRPr="000F2C83" w:rsidRDefault="00CB0DF6" w:rsidP="00140507">
            <w:pPr>
              <w:spacing w:after="200" w:line="276" w:lineRule="auto"/>
            </w:pPr>
            <w:r>
              <w:t>Ne, žádný rozvoj</w:t>
            </w:r>
          </w:p>
        </w:tc>
        <w:tc>
          <w:tcPr>
            <w:tcW w:w="3265" w:type="dxa"/>
            <w:gridSpan w:val="2"/>
          </w:tcPr>
          <w:p w14:paraId="1B33D909" w14:textId="77777777" w:rsidR="00CB0DF6" w:rsidRPr="000F2C83" w:rsidRDefault="00CB0DF6" w:rsidP="00140507">
            <w:pPr>
              <w:spacing w:after="200" w:line="276" w:lineRule="auto"/>
            </w:pPr>
          </w:p>
        </w:tc>
      </w:tr>
      <w:tr w:rsidR="00CB0DF6" w:rsidRPr="000F2C83" w14:paraId="510F5983" w14:textId="77777777" w:rsidTr="00F85A66">
        <w:trPr>
          <w:trHeight w:val="576"/>
        </w:trPr>
        <w:tc>
          <w:tcPr>
            <w:tcW w:w="439" w:type="dxa"/>
            <w:noWrap/>
            <w:hideMark/>
          </w:tcPr>
          <w:p w14:paraId="0E4C95B1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>11</w:t>
            </w:r>
          </w:p>
        </w:tc>
        <w:tc>
          <w:tcPr>
            <w:tcW w:w="4375" w:type="dxa"/>
            <w:hideMark/>
          </w:tcPr>
          <w:p w14:paraId="2B17674B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 xml:space="preserve">Jsou noví zaměstnanci </w:t>
            </w:r>
            <w:r>
              <w:t xml:space="preserve">dodavatele </w:t>
            </w:r>
            <w:r w:rsidRPr="000F2C83">
              <w:t>vyškoleni v oblasti kybernetické bezpečnosti dříve, než získají přístup k datům a informačním systémům?</w:t>
            </w:r>
          </w:p>
        </w:tc>
        <w:tc>
          <w:tcPr>
            <w:tcW w:w="2503" w:type="dxa"/>
            <w:noWrap/>
          </w:tcPr>
          <w:p w14:paraId="3BE2605E" w14:textId="77777777" w:rsidR="00CB0DF6" w:rsidRPr="000F2C83" w:rsidRDefault="00CB0DF6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7697D1DC" w14:textId="77777777" w:rsidR="00CB0DF6" w:rsidRPr="000F2C83" w:rsidRDefault="00CB0DF6" w:rsidP="00140507">
            <w:pPr>
              <w:spacing w:after="200" w:line="276" w:lineRule="auto"/>
            </w:pPr>
            <w:r>
              <w:t>Ano, nedostatečně</w:t>
            </w:r>
          </w:p>
        </w:tc>
        <w:tc>
          <w:tcPr>
            <w:tcW w:w="2292" w:type="dxa"/>
          </w:tcPr>
          <w:p w14:paraId="395ACB59" w14:textId="77777777" w:rsidR="00CB0DF6" w:rsidRPr="000F2C83" w:rsidRDefault="00CB0DF6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5D9FA87B" w14:textId="77777777" w:rsidR="00CB0DF6" w:rsidRPr="000F2C83" w:rsidRDefault="00CB0DF6" w:rsidP="00140507">
            <w:pPr>
              <w:spacing w:after="200" w:line="276" w:lineRule="auto"/>
            </w:pPr>
          </w:p>
        </w:tc>
      </w:tr>
      <w:tr w:rsidR="00CB0DF6" w:rsidRPr="000F2C83" w14:paraId="554C0438" w14:textId="77777777" w:rsidTr="00F85A66">
        <w:trPr>
          <w:trHeight w:val="576"/>
        </w:trPr>
        <w:tc>
          <w:tcPr>
            <w:tcW w:w="439" w:type="dxa"/>
            <w:noWrap/>
            <w:hideMark/>
          </w:tcPr>
          <w:p w14:paraId="54E9E6D5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>12</w:t>
            </w:r>
          </w:p>
        </w:tc>
        <w:tc>
          <w:tcPr>
            <w:tcW w:w="4375" w:type="dxa"/>
            <w:hideMark/>
          </w:tcPr>
          <w:p w14:paraId="2C4956F7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 xml:space="preserve">Dokumentuje </w:t>
            </w:r>
            <w:r>
              <w:t xml:space="preserve">dodavatel </w:t>
            </w:r>
            <w:r w:rsidRPr="000F2C83">
              <w:t>účast pracovníků na bezpečnostních školeních a vzdělávacích programech?</w:t>
            </w:r>
          </w:p>
        </w:tc>
        <w:tc>
          <w:tcPr>
            <w:tcW w:w="2503" w:type="dxa"/>
            <w:noWrap/>
          </w:tcPr>
          <w:p w14:paraId="149A168D" w14:textId="77777777" w:rsidR="00CB0DF6" w:rsidRPr="000F2C83" w:rsidRDefault="00CB0DF6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89" w:type="dxa"/>
          </w:tcPr>
          <w:p w14:paraId="765FEA5F" w14:textId="77777777" w:rsidR="00CB0DF6" w:rsidRPr="000F2C83" w:rsidRDefault="00CB0DF6" w:rsidP="00140507">
            <w:pPr>
              <w:spacing w:after="200" w:line="276" w:lineRule="auto"/>
            </w:pPr>
            <w:r>
              <w:t>Ano</w:t>
            </w:r>
          </w:p>
        </w:tc>
        <w:tc>
          <w:tcPr>
            <w:tcW w:w="2292" w:type="dxa"/>
          </w:tcPr>
          <w:p w14:paraId="58AF45D5" w14:textId="77777777" w:rsidR="00CB0DF6" w:rsidRPr="000F2C83" w:rsidRDefault="00CB0DF6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2269F0EA" w14:textId="77777777" w:rsidR="00CB0DF6" w:rsidRPr="000F2C83" w:rsidRDefault="00CB0DF6" w:rsidP="00140507">
            <w:pPr>
              <w:spacing w:after="200" w:line="276" w:lineRule="auto"/>
            </w:pPr>
          </w:p>
        </w:tc>
      </w:tr>
      <w:tr w:rsidR="00CB0DF6" w:rsidRPr="000F2C83" w14:paraId="2868A7F5" w14:textId="77777777" w:rsidTr="00F85A66">
        <w:trPr>
          <w:trHeight w:val="576"/>
        </w:trPr>
        <w:tc>
          <w:tcPr>
            <w:tcW w:w="439" w:type="dxa"/>
            <w:noWrap/>
            <w:hideMark/>
          </w:tcPr>
          <w:p w14:paraId="604AAF8F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>13</w:t>
            </w:r>
          </w:p>
        </w:tc>
        <w:tc>
          <w:tcPr>
            <w:tcW w:w="4375" w:type="dxa"/>
            <w:hideMark/>
          </w:tcPr>
          <w:p w14:paraId="2C3DEB46" w14:textId="77777777" w:rsidR="00CB0DF6" w:rsidRPr="000F2C83" w:rsidRDefault="00CB0DF6" w:rsidP="00140507">
            <w:pPr>
              <w:spacing w:after="200" w:line="276" w:lineRule="auto"/>
            </w:pPr>
            <w:r w:rsidRPr="000F2C83">
              <w:t xml:space="preserve">Vyžaduje </w:t>
            </w:r>
            <w:r>
              <w:t xml:space="preserve">dodavatel </w:t>
            </w:r>
            <w:r w:rsidRPr="000F2C83">
              <w:t>po zaměstnancích s přístupem k datům a informačním systémům podepsání individuální dohody o mlčenlivosti?</w:t>
            </w:r>
          </w:p>
        </w:tc>
        <w:tc>
          <w:tcPr>
            <w:tcW w:w="2503" w:type="dxa"/>
            <w:noWrap/>
          </w:tcPr>
          <w:p w14:paraId="5E77AC9A" w14:textId="77777777" w:rsidR="00CB0DF6" w:rsidRPr="000F2C83" w:rsidRDefault="00CB0DF6" w:rsidP="00140507">
            <w:pPr>
              <w:spacing w:after="200" w:line="276" w:lineRule="auto"/>
            </w:pPr>
            <w:r>
              <w:t xml:space="preserve">Ano, u dat a IS, která toto vyžadují. </w:t>
            </w:r>
          </w:p>
        </w:tc>
        <w:tc>
          <w:tcPr>
            <w:tcW w:w="2289" w:type="dxa"/>
          </w:tcPr>
          <w:p w14:paraId="3025776C" w14:textId="77777777" w:rsidR="00CB0DF6" w:rsidRPr="000F2C83" w:rsidRDefault="00CB0DF6" w:rsidP="00140507">
            <w:pPr>
              <w:spacing w:after="200" w:line="276" w:lineRule="auto"/>
            </w:pPr>
            <w:r>
              <w:t>Ne, nebo nekomplexně.</w:t>
            </w:r>
          </w:p>
        </w:tc>
        <w:tc>
          <w:tcPr>
            <w:tcW w:w="2292" w:type="dxa"/>
          </w:tcPr>
          <w:p w14:paraId="28633E28" w14:textId="77777777" w:rsidR="00CB0DF6" w:rsidRPr="000F2C83" w:rsidRDefault="00CB0DF6" w:rsidP="00140507">
            <w:pPr>
              <w:spacing w:after="200" w:line="276" w:lineRule="auto"/>
            </w:pPr>
            <w:r>
              <w:t>Ne</w:t>
            </w:r>
          </w:p>
        </w:tc>
        <w:tc>
          <w:tcPr>
            <w:tcW w:w="3265" w:type="dxa"/>
            <w:gridSpan w:val="2"/>
          </w:tcPr>
          <w:p w14:paraId="7679596D" w14:textId="77777777" w:rsidR="00CB0DF6" w:rsidRPr="000F2C83" w:rsidRDefault="00CB0DF6" w:rsidP="00140507">
            <w:pPr>
              <w:spacing w:after="200" w:line="276" w:lineRule="auto"/>
            </w:pPr>
          </w:p>
        </w:tc>
      </w:tr>
    </w:tbl>
    <w:p w14:paraId="515190B9" w14:textId="77777777" w:rsidR="00D150F2" w:rsidRDefault="00D150F2">
      <w:bookmarkStart w:id="0" w:name="RANGE!B67"/>
      <w:r>
        <w:br w:type="page"/>
      </w:r>
    </w:p>
    <w:tbl>
      <w:tblPr>
        <w:tblStyle w:val="Mkatabulky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438"/>
        <w:gridCol w:w="5416"/>
        <w:gridCol w:w="1891"/>
        <w:gridCol w:w="7406"/>
      </w:tblGrid>
      <w:tr w:rsidR="00D83265" w:rsidRPr="000F2C83" w14:paraId="2B44715D" w14:textId="77777777" w:rsidTr="00D150F2">
        <w:trPr>
          <w:trHeight w:val="615"/>
        </w:trPr>
        <w:tc>
          <w:tcPr>
            <w:tcW w:w="15151" w:type="dxa"/>
            <w:gridSpan w:val="4"/>
            <w:shd w:val="clear" w:color="auto" w:fill="F2F2F2" w:themeFill="background1" w:themeFillShade="F2"/>
            <w:hideMark/>
          </w:tcPr>
          <w:p w14:paraId="6B0DC148" w14:textId="20ED7942" w:rsidR="00D83265" w:rsidRPr="009B5F2E" w:rsidRDefault="00D83265" w:rsidP="00060593">
            <w:pPr>
              <w:spacing w:after="200" w:line="276" w:lineRule="auto"/>
              <w:rPr>
                <w:b/>
                <w:bCs/>
              </w:rPr>
            </w:pPr>
            <w:r w:rsidRPr="009B5F2E">
              <w:rPr>
                <w:b/>
                <w:bCs/>
              </w:rPr>
              <w:t>F. ZKUŠENOSTI DODAVATELE S KYBERNETICKÝMI INC</w:t>
            </w:r>
            <w:r>
              <w:rPr>
                <w:b/>
                <w:bCs/>
              </w:rPr>
              <w:t>I</w:t>
            </w:r>
            <w:r w:rsidRPr="009B5F2E">
              <w:rPr>
                <w:b/>
                <w:bCs/>
              </w:rPr>
              <w:t>DENTY</w:t>
            </w:r>
          </w:p>
          <w:p w14:paraId="09BCCE56" w14:textId="77777777" w:rsidR="00D83265" w:rsidRPr="000F2C83" w:rsidRDefault="00D83265" w:rsidP="00060593">
            <w:pPr>
              <w:spacing w:after="200" w:line="276" w:lineRule="auto"/>
              <w:rPr>
                <w:b/>
                <w:bCs/>
              </w:rPr>
            </w:pPr>
            <w:r>
              <w:t>J</w:t>
            </w:r>
            <w:r w:rsidRPr="000F2C83">
              <w:t xml:space="preserve">aké negativní dopady pocítil </w:t>
            </w:r>
            <w:r>
              <w:t xml:space="preserve">dodavatel </w:t>
            </w:r>
            <w:r w:rsidRPr="000F2C83">
              <w:t>v souvislosti s kybernetickým incidentem, pokud v minulosti nastal:</w:t>
            </w:r>
            <w:bookmarkEnd w:id="0"/>
          </w:p>
        </w:tc>
      </w:tr>
      <w:tr w:rsidR="00D83265" w:rsidRPr="000F2C83" w14:paraId="3FA65970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7BBDD87E" w14:textId="77777777" w:rsidR="00D83265" w:rsidRPr="000F2C83" w:rsidRDefault="00D83265" w:rsidP="00060593">
            <w:pPr>
              <w:spacing w:after="200" w:line="276" w:lineRule="auto"/>
            </w:pPr>
          </w:p>
        </w:tc>
        <w:tc>
          <w:tcPr>
            <w:tcW w:w="5416" w:type="dxa"/>
            <w:shd w:val="clear" w:color="auto" w:fill="D9E2F3" w:themeFill="accent1" w:themeFillTint="33"/>
            <w:hideMark/>
          </w:tcPr>
          <w:p w14:paraId="3D276690" w14:textId="77777777" w:rsidR="00D83265" w:rsidRPr="00532044" w:rsidRDefault="00D83265" w:rsidP="00060593">
            <w:pPr>
              <w:spacing w:after="200" w:line="276" w:lineRule="auto"/>
              <w:rPr>
                <w:b/>
                <w:bCs/>
              </w:rPr>
            </w:pPr>
            <w:r w:rsidRPr="00532044">
              <w:rPr>
                <w:b/>
                <w:bCs/>
              </w:rPr>
              <w:t>Dopad</w:t>
            </w:r>
          </w:p>
        </w:tc>
        <w:tc>
          <w:tcPr>
            <w:tcW w:w="1891" w:type="dxa"/>
            <w:shd w:val="clear" w:color="auto" w:fill="D9E2F3" w:themeFill="accent1" w:themeFillTint="33"/>
            <w:noWrap/>
            <w:hideMark/>
          </w:tcPr>
          <w:p w14:paraId="2B9687D8" w14:textId="77777777" w:rsidR="00D83265" w:rsidRPr="00532044" w:rsidRDefault="00D83265" w:rsidP="00060593">
            <w:pPr>
              <w:spacing w:after="200" w:line="276" w:lineRule="auto"/>
              <w:rPr>
                <w:b/>
                <w:bCs/>
              </w:rPr>
            </w:pPr>
            <w:r w:rsidRPr="00532044">
              <w:rPr>
                <w:b/>
                <w:bCs/>
              </w:rPr>
              <w:t>Řešeno (ano/ne)</w:t>
            </w:r>
          </w:p>
        </w:tc>
        <w:tc>
          <w:tcPr>
            <w:tcW w:w="7406" w:type="dxa"/>
            <w:shd w:val="clear" w:color="auto" w:fill="D9E2F3" w:themeFill="accent1" w:themeFillTint="33"/>
          </w:tcPr>
          <w:p w14:paraId="48E621AA" w14:textId="77777777" w:rsidR="00D83265" w:rsidRPr="00532044" w:rsidRDefault="00D83265" w:rsidP="00060593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Bližší popis, j</w:t>
            </w:r>
            <w:r w:rsidRPr="00532044">
              <w:rPr>
                <w:b/>
                <w:bCs/>
              </w:rPr>
              <w:t>ak bylo řešeno</w:t>
            </w:r>
          </w:p>
        </w:tc>
      </w:tr>
      <w:tr w:rsidR="00D83265" w:rsidRPr="000F2C83" w14:paraId="5BEC2F80" w14:textId="77777777" w:rsidTr="00D150F2">
        <w:trPr>
          <w:trHeight w:val="288"/>
        </w:trPr>
        <w:tc>
          <w:tcPr>
            <w:tcW w:w="438" w:type="dxa"/>
            <w:noWrap/>
          </w:tcPr>
          <w:p w14:paraId="6BC1FFFE" w14:textId="77777777" w:rsidR="00D83265" w:rsidRPr="000F2C83" w:rsidRDefault="00D83265" w:rsidP="00060593">
            <w:pPr>
              <w:spacing w:after="200" w:line="276" w:lineRule="auto"/>
            </w:pPr>
            <w:r>
              <w:t>a.</w:t>
            </w:r>
          </w:p>
        </w:tc>
        <w:tc>
          <w:tcPr>
            <w:tcW w:w="5416" w:type="dxa"/>
          </w:tcPr>
          <w:p w14:paraId="0C86991B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Výpadek sítě</w:t>
            </w:r>
          </w:p>
        </w:tc>
        <w:tc>
          <w:tcPr>
            <w:tcW w:w="1891" w:type="dxa"/>
            <w:noWrap/>
          </w:tcPr>
          <w:p w14:paraId="22AC4E98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474FD005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6CEE483C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EE7199E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b.</w:t>
            </w:r>
          </w:p>
        </w:tc>
        <w:tc>
          <w:tcPr>
            <w:tcW w:w="5416" w:type="dxa"/>
            <w:hideMark/>
          </w:tcPr>
          <w:p w14:paraId="52CE8D40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Nedostupnost emailu a kancelářských aplikací</w:t>
            </w:r>
          </w:p>
        </w:tc>
        <w:tc>
          <w:tcPr>
            <w:tcW w:w="1891" w:type="dxa"/>
            <w:noWrap/>
            <w:hideMark/>
          </w:tcPr>
          <w:p w14:paraId="590DBBB2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7EE687A2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04BC476E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C5625B4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c.</w:t>
            </w:r>
          </w:p>
        </w:tc>
        <w:tc>
          <w:tcPr>
            <w:tcW w:w="5416" w:type="dxa"/>
            <w:hideMark/>
          </w:tcPr>
          <w:p w14:paraId="5FF12043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Neoprávněné zneužití identity</w:t>
            </w:r>
          </w:p>
        </w:tc>
        <w:tc>
          <w:tcPr>
            <w:tcW w:w="1891" w:type="dxa"/>
            <w:noWrap/>
            <w:hideMark/>
          </w:tcPr>
          <w:p w14:paraId="406F9B2F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14A122AF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05AF7672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460CEEBF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d.</w:t>
            </w:r>
          </w:p>
        </w:tc>
        <w:tc>
          <w:tcPr>
            <w:tcW w:w="5416" w:type="dxa"/>
            <w:hideMark/>
          </w:tcPr>
          <w:p w14:paraId="79300088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Prozrazení chráněných dat</w:t>
            </w:r>
          </w:p>
        </w:tc>
        <w:tc>
          <w:tcPr>
            <w:tcW w:w="1891" w:type="dxa"/>
            <w:noWrap/>
            <w:hideMark/>
          </w:tcPr>
          <w:p w14:paraId="419157DE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7FE4C03A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3F1E233A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375FB32E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e.</w:t>
            </w:r>
          </w:p>
        </w:tc>
        <w:tc>
          <w:tcPr>
            <w:tcW w:w="5416" w:type="dxa"/>
            <w:hideMark/>
          </w:tcPr>
          <w:p w14:paraId="6D69B54A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Ztráta nebo zničení dat</w:t>
            </w:r>
          </w:p>
        </w:tc>
        <w:tc>
          <w:tcPr>
            <w:tcW w:w="1891" w:type="dxa"/>
            <w:noWrap/>
            <w:hideMark/>
          </w:tcPr>
          <w:p w14:paraId="0B5CBFF6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003CFF63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0E48336C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23A2CA3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f.</w:t>
            </w:r>
          </w:p>
        </w:tc>
        <w:tc>
          <w:tcPr>
            <w:tcW w:w="5416" w:type="dxa"/>
            <w:hideMark/>
          </w:tcPr>
          <w:p w14:paraId="0CCF0C6F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Finanční ztráta</w:t>
            </w:r>
          </w:p>
        </w:tc>
        <w:tc>
          <w:tcPr>
            <w:tcW w:w="1891" w:type="dxa"/>
            <w:noWrap/>
            <w:hideMark/>
          </w:tcPr>
          <w:p w14:paraId="7E1CC009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30001591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197D9747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2E95E40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g.</w:t>
            </w:r>
          </w:p>
        </w:tc>
        <w:tc>
          <w:tcPr>
            <w:tcW w:w="5416" w:type="dxa"/>
            <w:hideMark/>
          </w:tcPr>
          <w:p w14:paraId="4DD17093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Ztráta duševního vlastnictví</w:t>
            </w:r>
          </w:p>
        </w:tc>
        <w:tc>
          <w:tcPr>
            <w:tcW w:w="1891" w:type="dxa"/>
            <w:noWrap/>
            <w:hideMark/>
          </w:tcPr>
          <w:p w14:paraId="76D8A180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6FB8A422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509212B4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2213A11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h.</w:t>
            </w:r>
          </w:p>
        </w:tc>
        <w:tc>
          <w:tcPr>
            <w:tcW w:w="5416" w:type="dxa"/>
            <w:hideMark/>
          </w:tcPr>
          <w:p w14:paraId="4FBD454A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Poškození pověsti organizace uchazeče</w:t>
            </w:r>
          </w:p>
        </w:tc>
        <w:tc>
          <w:tcPr>
            <w:tcW w:w="1891" w:type="dxa"/>
            <w:noWrap/>
            <w:hideMark/>
          </w:tcPr>
          <w:p w14:paraId="2B17FAAF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51F8CB0A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5311593A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0EE45597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i.</w:t>
            </w:r>
          </w:p>
        </w:tc>
        <w:tc>
          <w:tcPr>
            <w:tcW w:w="5416" w:type="dxa"/>
            <w:hideMark/>
          </w:tcPr>
          <w:p w14:paraId="68B43F4B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Negativní publicita v médiích</w:t>
            </w:r>
          </w:p>
        </w:tc>
        <w:tc>
          <w:tcPr>
            <w:tcW w:w="1891" w:type="dxa"/>
            <w:noWrap/>
            <w:hideMark/>
          </w:tcPr>
          <w:p w14:paraId="65ED1E59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54B23112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523069FE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5B98F02B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j.</w:t>
            </w:r>
          </w:p>
        </w:tc>
        <w:tc>
          <w:tcPr>
            <w:tcW w:w="5416" w:type="dxa"/>
            <w:hideMark/>
          </w:tcPr>
          <w:p w14:paraId="15428341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Ztráta hodnoty organizace uchazeče</w:t>
            </w:r>
          </w:p>
        </w:tc>
        <w:tc>
          <w:tcPr>
            <w:tcW w:w="1891" w:type="dxa"/>
            <w:noWrap/>
            <w:hideMark/>
          </w:tcPr>
          <w:p w14:paraId="33B22217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53D29F26" w14:textId="77777777" w:rsidR="00D83265" w:rsidRPr="000F2C83" w:rsidRDefault="00D83265" w:rsidP="00060593">
            <w:pPr>
              <w:spacing w:after="200" w:line="276" w:lineRule="auto"/>
            </w:pPr>
          </w:p>
        </w:tc>
      </w:tr>
      <w:tr w:rsidR="00D83265" w:rsidRPr="000F2C83" w14:paraId="00C9549D" w14:textId="77777777" w:rsidTr="00D150F2">
        <w:trPr>
          <w:trHeight w:val="288"/>
        </w:trPr>
        <w:tc>
          <w:tcPr>
            <w:tcW w:w="438" w:type="dxa"/>
            <w:noWrap/>
            <w:hideMark/>
          </w:tcPr>
          <w:p w14:paraId="265F1269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k.</w:t>
            </w:r>
          </w:p>
        </w:tc>
        <w:tc>
          <w:tcPr>
            <w:tcW w:w="5416" w:type="dxa"/>
            <w:hideMark/>
          </w:tcPr>
          <w:p w14:paraId="28521785" w14:textId="77777777" w:rsidR="00D83265" w:rsidRPr="000F2C83" w:rsidRDefault="00D83265" w:rsidP="00060593">
            <w:pPr>
              <w:spacing w:after="200" w:line="276" w:lineRule="auto"/>
            </w:pPr>
            <w:r w:rsidRPr="000F2C83">
              <w:t>Trestní stíhání organizace uchazeče</w:t>
            </w:r>
          </w:p>
        </w:tc>
        <w:tc>
          <w:tcPr>
            <w:tcW w:w="1891" w:type="dxa"/>
            <w:noWrap/>
            <w:hideMark/>
          </w:tcPr>
          <w:p w14:paraId="705D06D4" w14:textId="77777777" w:rsidR="00D83265" w:rsidRPr="000F2C83" w:rsidRDefault="00D83265" w:rsidP="00060593">
            <w:pPr>
              <w:spacing w:after="200" w:line="276" w:lineRule="auto"/>
              <w:jc w:val="center"/>
            </w:pPr>
          </w:p>
        </w:tc>
        <w:tc>
          <w:tcPr>
            <w:tcW w:w="7406" w:type="dxa"/>
          </w:tcPr>
          <w:p w14:paraId="3BDBF817" w14:textId="77777777" w:rsidR="00D83265" w:rsidRPr="000F2C83" w:rsidRDefault="00D83265" w:rsidP="00060593">
            <w:pPr>
              <w:spacing w:after="200" w:line="276" w:lineRule="auto"/>
            </w:pPr>
          </w:p>
        </w:tc>
      </w:tr>
    </w:tbl>
    <w:p w14:paraId="5CD475B1" w14:textId="77777777" w:rsidR="00F90B2B" w:rsidRDefault="00F90B2B" w:rsidP="006F350D"/>
    <w:sectPr w:rsidR="00F90B2B" w:rsidSect="00DE731D">
      <w:headerReference w:type="default" r:id="rId11"/>
      <w:footerReference w:type="default" r:id="rId12"/>
      <w:pgSz w:w="16838" w:h="11906" w:orient="landscape" w:code="9"/>
      <w:pgMar w:top="400" w:right="820" w:bottom="849" w:left="851" w:header="426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F49F" w14:textId="77777777" w:rsidR="0024126F" w:rsidRDefault="0024126F" w:rsidP="00244380">
      <w:pPr>
        <w:spacing w:after="0" w:line="240" w:lineRule="auto"/>
      </w:pPr>
      <w:r>
        <w:separator/>
      </w:r>
    </w:p>
  </w:endnote>
  <w:endnote w:type="continuationSeparator" w:id="0">
    <w:p w14:paraId="03EECF30" w14:textId="77777777" w:rsidR="0024126F" w:rsidRDefault="0024126F" w:rsidP="0024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Condensed-Regular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oboto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FF55" w14:textId="6FB88DEC" w:rsidR="005637A2" w:rsidRDefault="005637A2">
    <w:pPr>
      <w:pStyle w:val="Zpat"/>
      <w:jc w:val="center"/>
    </w:pPr>
    <w:r>
      <w:t xml:space="preserve">Strana </w:t>
    </w:r>
    <w:sdt>
      <w:sdtPr>
        <w:id w:val="161555373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0E71CA">
          <w:fldChar w:fldCharType="begin"/>
        </w:r>
        <w:r w:rsidR="000E71CA">
          <w:instrText xml:space="preserve"> NUMPAGES   \* MERGEFORMAT </w:instrText>
        </w:r>
        <w:r w:rsidR="000E71CA">
          <w:fldChar w:fldCharType="separate"/>
        </w:r>
        <w:r>
          <w:rPr>
            <w:noProof/>
          </w:rPr>
          <w:t>1</w:t>
        </w:r>
        <w:r w:rsidR="000E71CA">
          <w:rPr>
            <w:noProof/>
          </w:rPr>
          <w:fldChar w:fldCharType="end"/>
        </w:r>
      </w:sdtContent>
    </w:sdt>
  </w:p>
  <w:p w14:paraId="1D8D2617" w14:textId="38424C25" w:rsidR="005637A2" w:rsidRDefault="005637A2" w:rsidP="005637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82C8" w14:textId="77777777" w:rsidR="0024126F" w:rsidRDefault="0024126F" w:rsidP="00244380">
      <w:pPr>
        <w:spacing w:after="0" w:line="240" w:lineRule="auto"/>
      </w:pPr>
      <w:r>
        <w:separator/>
      </w:r>
    </w:p>
  </w:footnote>
  <w:footnote w:type="continuationSeparator" w:id="0">
    <w:p w14:paraId="203636F5" w14:textId="77777777" w:rsidR="0024126F" w:rsidRDefault="0024126F" w:rsidP="00244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5452" w:type="dxa"/>
      <w:tblInd w:w="-284" w:type="dxa"/>
      <w:tblBorders>
        <w:top w:val="none" w:sz="0" w:space="0" w:color="auto"/>
        <w:left w:val="none" w:sz="0" w:space="0" w:color="auto"/>
        <w:bottom w:val="single" w:sz="12" w:space="0" w:color="4CB848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686"/>
      <w:gridCol w:w="8647"/>
      <w:gridCol w:w="3119"/>
    </w:tblGrid>
    <w:tr w:rsidR="00812364" w:rsidRPr="00BF2B10" w14:paraId="43F45CA6" w14:textId="77777777" w:rsidTr="003D6764">
      <w:trPr>
        <w:trHeight w:val="1276"/>
      </w:trPr>
      <w:tc>
        <w:tcPr>
          <w:tcW w:w="3686" w:type="dxa"/>
          <w:shd w:val="clear" w:color="auto" w:fill="FFFFFF" w:themeFill="background1"/>
          <w:vAlign w:val="center"/>
        </w:tcPr>
        <w:p w14:paraId="70F436AC" w14:textId="77777777" w:rsidR="004E5A8C" w:rsidRDefault="00812364" w:rsidP="002F4A89">
          <w:pPr>
            <w:pStyle w:val="Zhlav"/>
            <w:rPr>
              <w:sz w:val="16"/>
              <w:szCs w:val="16"/>
            </w:rPr>
          </w:pPr>
          <w:r w:rsidRPr="00BF2B10">
            <w:rPr>
              <w:noProof/>
            </w:rPr>
            <w:drawing>
              <wp:inline distT="0" distB="0" distL="0" distR="0" wp14:anchorId="7AC60D1B" wp14:editId="1AF1C790">
                <wp:extent cx="819150" cy="483299"/>
                <wp:effectExtent l="0" t="0" r="0" b="0"/>
                <wp:docPr id="1777209241" name="Obrázek 1777209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694" cy="5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F4A89" w:rsidRPr="00B85562">
            <w:rPr>
              <w:sz w:val="16"/>
              <w:szCs w:val="16"/>
            </w:rPr>
            <w:t xml:space="preserve"> </w:t>
          </w:r>
        </w:p>
        <w:p w14:paraId="63C73D43" w14:textId="0DCA8C66" w:rsidR="002F4A89" w:rsidRDefault="004E5A8C" w:rsidP="002F4A89">
          <w:pPr>
            <w:pStyle w:val="Zhlav"/>
            <w:rPr>
              <w:sz w:val="16"/>
              <w:szCs w:val="16"/>
            </w:rPr>
          </w:pPr>
          <w:r>
            <w:rPr>
              <w:sz w:val="16"/>
              <w:szCs w:val="16"/>
            </w:rPr>
            <w:t>M</w:t>
          </w:r>
          <w:r w:rsidR="002F4A89" w:rsidRPr="00B85562">
            <w:rPr>
              <w:sz w:val="16"/>
              <w:szCs w:val="16"/>
            </w:rPr>
            <w:t xml:space="preserve">PQ 840-2 Příloha </w:t>
          </w:r>
          <w:r w:rsidR="00DB4E8B">
            <w:rPr>
              <w:sz w:val="16"/>
              <w:szCs w:val="16"/>
            </w:rPr>
            <w:t>4</w:t>
          </w:r>
        </w:p>
        <w:p w14:paraId="08A0E123" w14:textId="6D6A7EE2" w:rsidR="00812364" w:rsidRPr="00845BC1" w:rsidRDefault="002F4A89" w:rsidP="002F4A89">
          <w:pPr>
            <w:pStyle w:val="Zhlav"/>
          </w:pPr>
          <w:r>
            <w:rPr>
              <w:sz w:val="16"/>
              <w:szCs w:val="16"/>
            </w:rPr>
            <w:t xml:space="preserve">Klasifikace dokumentu: </w:t>
          </w:r>
          <w:r w:rsidR="003D6764">
            <w:rPr>
              <w:sz w:val="16"/>
              <w:szCs w:val="16"/>
            </w:rPr>
            <w:t>Důvěrný</w:t>
          </w:r>
        </w:p>
      </w:tc>
      <w:tc>
        <w:tcPr>
          <w:tcW w:w="8647" w:type="dxa"/>
          <w:shd w:val="clear" w:color="auto" w:fill="FFFFFF" w:themeFill="background1"/>
          <w:vAlign w:val="center"/>
        </w:tcPr>
        <w:p w14:paraId="70A58219" w14:textId="2081C5DC" w:rsidR="00B66E55" w:rsidRDefault="00B66E55" w:rsidP="00812364">
          <w:pPr>
            <w:pStyle w:val="Zhlav"/>
            <w:jc w:val="center"/>
            <w:rPr>
              <w:b/>
              <w:bCs/>
              <w:sz w:val="28"/>
              <w:szCs w:val="32"/>
            </w:rPr>
          </w:pPr>
          <w:r>
            <w:rPr>
              <w:b/>
              <w:bCs/>
              <w:sz w:val="28"/>
              <w:szCs w:val="32"/>
            </w:rPr>
            <w:t>KB dotazník pro dodavatele</w:t>
          </w:r>
        </w:p>
        <w:p w14:paraId="1EE99E69" w14:textId="159456C0" w:rsidR="00812364" w:rsidRPr="00056727" w:rsidRDefault="00B66E55" w:rsidP="00812364">
          <w:pPr>
            <w:pStyle w:val="Zhlav"/>
            <w:jc w:val="center"/>
            <w:rPr>
              <w:sz w:val="24"/>
              <w:szCs w:val="24"/>
              <w:lang w:val="en-US"/>
            </w:rPr>
          </w:pPr>
          <w:r w:rsidRPr="00056727">
            <w:rPr>
              <w:sz w:val="24"/>
              <w:szCs w:val="24"/>
            </w:rPr>
            <w:t>(</w:t>
          </w:r>
          <w:r w:rsidR="003D6764" w:rsidRPr="00056727">
            <w:rPr>
              <w:sz w:val="24"/>
              <w:szCs w:val="24"/>
            </w:rPr>
            <w:t>Ověření úrovně kybernetické bezpečnosti dodavatelů SOR</w:t>
          </w:r>
          <w:r w:rsidRPr="00056727">
            <w:rPr>
              <w:sz w:val="24"/>
              <w:szCs w:val="24"/>
              <w:lang w:val="en-US"/>
            </w:rPr>
            <w:t>)</w:t>
          </w:r>
        </w:p>
      </w:tc>
      <w:tc>
        <w:tcPr>
          <w:tcW w:w="3119" w:type="dxa"/>
          <w:shd w:val="clear" w:color="auto" w:fill="FFFFFF" w:themeFill="background1"/>
          <w:vAlign w:val="center"/>
        </w:tcPr>
        <w:p w14:paraId="036ED972" w14:textId="77777777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SOR Libchavy spol. s r.o.</w:t>
          </w:r>
        </w:p>
        <w:p w14:paraId="4E989FD6" w14:textId="534C91DE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Dolní Libchavy 48, 561 16 Libchavy</w:t>
          </w:r>
        </w:p>
        <w:p w14:paraId="5038C223" w14:textId="66A7ED6E" w:rsidR="00812364" w:rsidRDefault="00812364" w:rsidP="00812364">
          <w:pPr>
            <w:autoSpaceDE w:val="0"/>
            <w:autoSpaceDN w:val="0"/>
            <w:adjustRightInd w:val="0"/>
            <w:spacing w:after="0" w:line="240" w:lineRule="auto"/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IČ: 15030865, DIČ: CZ15030865</w:t>
          </w:r>
        </w:p>
        <w:p w14:paraId="2C7C9A0C" w14:textId="29922526" w:rsidR="00812364" w:rsidRPr="00AD6081" w:rsidRDefault="00812364" w:rsidP="00812364">
          <w:pPr>
            <w:pStyle w:val="Zhlav"/>
            <w:rPr>
              <w:rFonts w:ascii="RobotoCondensed-Regular" w:hAnsi="RobotoCondensed-Regular" w:cs="RobotoCondensed-Regular"/>
              <w:kern w:val="0"/>
              <w:sz w:val="8"/>
              <w:szCs w:val="8"/>
            </w:rPr>
          </w:pPr>
          <w:r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 xml:space="preserve">Tel.: +420 465 519 411, </w:t>
          </w:r>
          <w:r w:rsidRPr="00AD6081">
            <w:rPr>
              <w:rFonts w:ascii="RobotoCondensed-Regular" w:hAnsi="RobotoCondensed-Regular" w:cs="RobotoCondensed-Regular"/>
              <w:kern w:val="0"/>
              <w:sz w:val="18"/>
              <w:szCs w:val="18"/>
            </w:rPr>
            <w:t>sor@sor.cz</w:t>
          </w:r>
        </w:p>
        <w:p w14:paraId="432E9653" w14:textId="77777777" w:rsidR="00812364" w:rsidRPr="00AD6081" w:rsidRDefault="00812364" w:rsidP="00812364">
          <w:pPr>
            <w:pStyle w:val="Zhlav"/>
            <w:rPr>
              <w:rFonts w:ascii="RobotoCondensed-Regular" w:hAnsi="RobotoCondensed-Regular" w:cs="RobotoCondensed-Regular"/>
              <w:kern w:val="0"/>
              <w:sz w:val="8"/>
              <w:szCs w:val="8"/>
            </w:rPr>
          </w:pPr>
        </w:p>
        <w:p w14:paraId="6D49D16E" w14:textId="77777777" w:rsidR="00812364" w:rsidRPr="00AD6081" w:rsidRDefault="00812364" w:rsidP="00812364">
          <w:pPr>
            <w:pStyle w:val="Zhlav"/>
            <w:rPr>
              <w:color w:val="4CB848"/>
              <w:szCs w:val="20"/>
            </w:rPr>
          </w:pPr>
          <w:r w:rsidRPr="00AD6081">
            <w:rPr>
              <w:rFonts w:ascii="RobotoCondensed-Bold" w:hAnsi="RobotoCondensed-Bold" w:cs="RobotoCondensed-Bold"/>
              <w:b/>
              <w:bCs/>
              <w:color w:val="4CB848"/>
              <w:kern w:val="0"/>
              <w:szCs w:val="20"/>
            </w:rPr>
            <w:t>www.sor.cz</w:t>
          </w:r>
        </w:p>
      </w:tc>
    </w:tr>
  </w:tbl>
  <w:p w14:paraId="10933788" w14:textId="77777777" w:rsidR="00812364" w:rsidRPr="00BF2B10" w:rsidRDefault="00812364" w:rsidP="00812364">
    <w:pPr>
      <w:pStyle w:val="Zhlav"/>
    </w:pPr>
  </w:p>
  <w:p w14:paraId="064A9FE4" w14:textId="77777777" w:rsidR="00812364" w:rsidRDefault="00812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006"/>
    <w:multiLevelType w:val="hybridMultilevel"/>
    <w:tmpl w:val="F33E4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895"/>
    <w:multiLevelType w:val="multilevel"/>
    <w:tmpl w:val="D7509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2034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1F71E8"/>
    <w:multiLevelType w:val="multilevel"/>
    <w:tmpl w:val="E7F8C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8210BA"/>
    <w:multiLevelType w:val="hybridMultilevel"/>
    <w:tmpl w:val="60620A0A"/>
    <w:lvl w:ilvl="0" w:tplc="50A659B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33E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6D1C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F7685B"/>
    <w:multiLevelType w:val="multilevel"/>
    <w:tmpl w:val="5288B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721C668E"/>
    <w:multiLevelType w:val="multilevel"/>
    <w:tmpl w:val="FA1E016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DC53775"/>
    <w:multiLevelType w:val="hybridMultilevel"/>
    <w:tmpl w:val="14A8E8F4"/>
    <w:lvl w:ilvl="0" w:tplc="FCBA35DE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6338">
    <w:abstractNumId w:val="8"/>
  </w:num>
  <w:num w:numId="2" w16cid:durableId="656687156">
    <w:abstractNumId w:val="7"/>
  </w:num>
  <w:num w:numId="3" w16cid:durableId="1801260385">
    <w:abstractNumId w:val="9"/>
  </w:num>
  <w:num w:numId="4" w16cid:durableId="1675064235">
    <w:abstractNumId w:val="4"/>
  </w:num>
  <w:num w:numId="5" w16cid:durableId="599289808">
    <w:abstractNumId w:val="5"/>
  </w:num>
  <w:num w:numId="6" w16cid:durableId="1507132910">
    <w:abstractNumId w:val="2"/>
  </w:num>
  <w:num w:numId="7" w16cid:durableId="368452663">
    <w:abstractNumId w:val="1"/>
  </w:num>
  <w:num w:numId="8" w16cid:durableId="124545356">
    <w:abstractNumId w:val="6"/>
  </w:num>
  <w:num w:numId="9" w16cid:durableId="1805343684">
    <w:abstractNumId w:val="3"/>
  </w:num>
  <w:num w:numId="10" w16cid:durableId="58210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7A"/>
    <w:rsid w:val="000311F1"/>
    <w:rsid w:val="00056727"/>
    <w:rsid w:val="00062B9B"/>
    <w:rsid w:val="0006513C"/>
    <w:rsid w:val="0008558A"/>
    <w:rsid w:val="00090168"/>
    <w:rsid w:val="000E677A"/>
    <w:rsid w:val="000E71CA"/>
    <w:rsid w:val="000F3938"/>
    <w:rsid w:val="00115ABF"/>
    <w:rsid w:val="001367D3"/>
    <w:rsid w:val="00140507"/>
    <w:rsid w:val="00166C38"/>
    <w:rsid w:val="00190501"/>
    <w:rsid w:val="001C4963"/>
    <w:rsid w:val="001E6BB2"/>
    <w:rsid w:val="00203A53"/>
    <w:rsid w:val="0024126F"/>
    <w:rsid w:val="00244380"/>
    <w:rsid w:val="00280608"/>
    <w:rsid w:val="002A6556"/>
    <w:rsid w:val="002A7982"/>
    <w:rsid w:val="002B3B72"/>
    <w:rsid w:val="002C0EBF"/>
    <w:rsid w:val="002C4286"/>
    <w:rsid w:val="002F4A89"/>
    <w:rsid w:val="002F5159"/>
    <w:rsid w:val="00325665"/>
    <w:rsid w:val="00344739"/>
    <w:rsid w:val="00352612"/>
    <w:rsid w:val="0036051C"/>
    <w:rsid w:val="0036245B"/>
    <w:rsid w:val="003D6764"/>
    <w:rsid w:val="003E7773"/>
    <w:rsid w:val="00462331"/>
    <w:rsid w:val="00470730"/>
    <w:rsid w:val="004757F0"/>
    <w:rsid w:val="00491A76"/>
    <w:rsid w:val="004B3B3A"/>
    <w:rsid w:val="004D2260"/>
    <w:rsid w:val="004E5A8C"/>
    <w:rsid w:val="0056309C"/>
    <w:rsid w:val="005637A2"/>
    <w:rsid w:val="005D2BF8"/>
    <w:rsid w:val="005F3D98"/>
    <w:rsid w:val="0064087D"/>
    <w:rsid w:val="006C20A3"/>
    <w:rsid w:val="006E5E29"/>
    <w:rsid w:val="006F350D"/>
    <w:rsid w:val="0072093B"/>
    <w:rsid w:val="00731F50"/>
    <w:rsid w:val="00741C59"/>
    <w:rsid w:val="00745F5D"/>
    <w:rsid w:val="007561BC"/>
    <w:rsid w:val="007739AC"/>
    <w:rsid w:val="007B7AF5"/>
    <w:rsid w:val="007E20C1"/>
    <w:rsid w:val="00812364"/>
    <w:rsid w:val="00814F57"/>
    <w:rsid w:val="00844172"/>
    <w:rsid w:val="00845BC1"/>
    <w:rsid w:val="00867A18"/>
    <w:rsid w:val="00885D76"/>
    <w:rsid w:val="008C360A"/>
    <w:rsid w:val="0092566A"/>
    <w:rsid w:val="00966AF3"/>
    <w:rsid w:val="009858AF"/>
    <w:rsid w:val="009C0679"/>
    <w:rsid w:val="009E38F3"/>
    <w:rsid w:val="009F7797"/>
    <w:rsid w:val="00A15248"/>
    <w:rsid w:val="00A27F25"/>
    <w:rsid w:val="00A83B7A"/>
    <w:rsid w:val="00A96F60"/>
    <w:rsid w:val="00AA192A"/>
    <w:rsid w:val="00AD6081"/>
    <w:rsid w:val="00AE74A5"/>
    <w:rsid w:val="00AF1C01"/>
    <w:rsid w:val="00B0654B"/>
    <w:rsid w:val="00B10751"/>
    <w:rsid w:val="00B17C1A"/>
    <w:rsid w:val="00B2206D"/>
    <w:rsid w:val="00B368D5"/>
    <w:rsid w:val="00B521BD"/>
    <w:rsid w:val="00B535B7"/>
    <w:rsid w:val="00B66E55"/>
    <w:rsid w:val="00B91A6C"/>
    <w:rsid w:val="00BF0F1E"/>
    <w:rsid w:val="00BF2B10"/>
    <w:rsid w:val="00BF4C5F"/>
    <w:rsid w:val="00C269C9"/>
    <w:rsid w:val="00C4629E"/>
    <w:rsid w:val="00C824CC"/>
    <w:rsid w:val="00CB0DF6"/>
    <w:rsid w:val="00CB4BA3"/>
    <w:rsid w:val="00CF1F16"/>
    <w:rsid w:val="00D150F2"/>
    <w:rsid w:val="00D83265"/>
    <w:rsid w:val="00DB4E8B"/>
    <w:rsid w:val="00DB5250"/>
    <w:rsid w:val="00DE731D"/>
    <w:rsid w:val="00E477AE"/>
    <w:rsid w:val="00E57C4E"/>
    <w:rsid w:val="00E723CF"/>
    <w:rsid w:val="00E97205"/>
    <w:rsid w:val="00EB2739"/>
    <w:rsid w:val="00F37215"/>
    <w:rsid w:val="00F50E30"/>
    <w:rsid w:val="00F85A66"/>
    <w:rsid w:val="00F90B2B"/>
    <w:rsid w:val="00FD0B0C"/>
    <w:rsid w:val="00FD6A27"/>
    <w:rsid w:val="00FF1833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1007"/>
  <w15:chartTrackingRefBased/>
  <w15:docId w15:val="{A5BC7694-1D5C-4450-933D-E53D255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B7A"/>
    <w:pPr>
      <w:spacing w:after="120" w:line="288" w:lineRule="auto"/>
    </w:pPr>
    <w:rPr>
      <w:rFonts w:ascii="Arial CE" w:hAnsi="Arial CE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F1C01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sz w:val="36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1C01"/>
    <w:pPr>
      <w:keepNext/>
      <w:keepLines/>
      <w:numPr>
        <w:ilvl w:val="1"/>
        <w:numId w:val="1"/>
      </w:numPr>
      <w:spacing w:before="60"/>
      <w:outlineLvl w:val="1"/>
    </w:pPr>
    <w:rPr>
      <w:rFonts w:eastAsiaTheme="majorEastAsia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4D2260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sz w:val="28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7E20C1"/>
    <w:pPr>
      <w:keepNext/>
      <w:keepLines/>
      <w:numPr>
        <w:ilvl w:val="3"/>
        <w:numId w:val="1"/>
      </w:numPr>
      <w:spacing w:before="60"/>
      <w:outlineLvl w:val="3"/>
    </w:pPr>
    <w:rPr>
      <w:rFonts w:eastAsiaTheme="majorEastAsia" w:cstheme="majorBidi"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32566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66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66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66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66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380"/>
  </w:style>
  <w:style w:type="paragraph" w:styleId="Zpat">
    <w:name w:val="footer"/>
    <w:basedOn w:val="Normln"/>
    <w:link w:val="ZpatChar"/>
    <w:uiPriority w:val="99"/>
    <w:unhideWhenUsed/>
    <w:rsid w:val="0024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380"/>
  </w:style>
  <w:style w:type="character" w:customStyle="1" w:styleId="Nadpis1Char">
    <w:name w:val="Nadpis 1 Char"/>
    <w:basedOn w:val="Standardnpsmoodstavce"/>
    <w:link w:val="Nadpis1"/>
    <w:uiPriority w:val="9"/>
    <w:rsid w:val="00AF1C01"/>
    <w:rPr>
      <w:rFonts w:ascii="Arial CE" w:eastAsiaTheme="majorEastAsia" w:hAnsi="Arial CE" w:cstheme="majorBidi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F1C01"/>
    <w:rPr>
      <w:rFonts w:ascii="Arial CE" w:eastAsiaTheme="majorEastAsia" w:hAnsi="Arial CE" w:cstheme="majorBidi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2260"/>
    <w:rPr>
      <w:rFonts w:ascii="Arial CE" w:eastAsiaTheme="majorEastAsia" w:hAnsi="Arial CE" w:cstheme="majorBidi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E20C1"/>
    <w:rPr>
      <w:rFonts w:ascii="Arial CE" w:eastAsiaTheme="majorEastAsia" w:hAnsi="Arial CE" w:cstheme="majorBidi"/>
      <w:iCs/>
      <w:sz w:val="24"/>
    </w:rPr>
  </w:style>
  <w:style w:type="table" w:styleId="Mkatabulky">
    <w:name w:val="Table Grid"/>
    <w:basedOn w:val="Normlntabulka"/>
    <w:uiPriority w:val="59"/>
    <w:rsid w:val="00BF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325665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665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665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6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6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elk">
    <w:name w:val="Velké"/>
    <w:basedOn w:val="Normln"/>
    <w:link w:val="VelkChar"/>
    <w:autoRedefine/>
    <w:qFormat/>
    <w:rsid w:val="00E477AE"/>
    <w:pPr>
      <w:spacing w:before="60" w:line="264" w:lineRule="auto"/>
      <w:jc w:val="center"/>
    </w:pPr>
    <w:rPr>
      <w:sz w:val="44"/>
      <w:szCs w:val="24"/>
    </w:rPr>
  </w:style>
  <w:style w:type="paragraph" w:customStyle="1" w:styleId="Velk2">
    <w:name w:val="Velké 2"/>
    <w:basedOn w:val="Normln"/>
    <w:link w:val="Velk2Char"/>
    <w:autoRedefine/>
    <w:qFormat/>
    <w:rsid w:val="009F7797"/>
    <w:pPr>
      <w:spacing w:before="60"/>
    </w:pPr>
    <w:rPr>
      <w:sz w:val="36"/>
    </w:rPr>
  </w:style>
  <w:style w:type="character" w:customStyle="1" w:styleId="VelkChar">
    <w:name w:val="Velké Char"/>
    <w:basedOn w:val="Standardnpsmoodstavce"/>
    <w:link w:val="Velk"/>
    <w:rsid w:val="00E477AE"/>
    <w:rPr>
      <w:rFonts w:ascii="Arial CE" w:hAnsi="Arial CE"/>
      <w:sz w:val="4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90B2B"/>
    <w:pPr>
      <w:numPr>
        <w:numId w:val="0"/>
      </w:num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cs-CZ"/>
      <w14:ligatures w14:val="none"/>
    </w:rPr>
  </w:style>
  <w:style w:type="character" w:customStyle="1" w:styleId="Velk2Char">
    <w:name w:val="Velké 2 Char"/>
    <w:basedOn w:val="Standardnpsmoodstavce"/>
    <w:link w:val="Velk2"/>
    <w:rsid w:val="009F7797"/>
    <w:rPr>
      <w:rFonts w:ascii="Arial CE" w:hAnsi="Arial CE"/>
      <w:sz w:val="36"/>
    </w:rPr>
  </w:style>
  <w:style w:type="character" w:styleId="Hypertextovodkaz">
    <w:name w:val="Hyperlink"/>
    <w:basedOn w:val="Standardnpsmoodstavce"/>
    <w:uiPriority w:val="99"/>
    <w:unhideWhenUsed/>
    <w:rsid w:val="006F3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35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CB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fb1dc2-0a21-4630-9e04-ef167210a7b9" xsi:nil="true"/>
    <lcf76f155ced4ddcb4097134ff3c332f xmlns="c9f0a2be-0d75-488b-9e08-ebf2caca0a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507C56D467B4BA8CDCD537EE2BD0C" ma:contentTypeVersion="11" ma:contentTypeDescription="Vytvoří nový dokument" ma:contentTypeScope="" ma:versionID="b4c1d60c2ef6d27a1c6d1ef134f82cb5">
  <xsd:schema xmlns:xsd="http://www.w3.org/2001/XMLSchema" xmlns:xs="http://www.w3.org/2001/XMLSchema" xmlns:p="http://schemas.microsoft.com/office/2006/metadata/properties" xmlns:ns2="c9f0a2be-0d75-488b-9e08-ebf2caca0a77" xmlns:ns3="cdfb1dc2-0a21-4630-9e04-ef167210a7b9" targetNamespace="http://schemas.microsoft.com/office/2006/metadata/properties" ma:root="true" ma:fieldsID="e46d45e4fc84dce83f7d59bdfb1e7976" ns2:_="" ns3:_="">
    <xsd:import namespace="c9f0a2be-0d75-488b-9e08-ebf2caca0a77"/>
    <xsd:import namespace="cdfb1dc2-0a21-4630-9e04-ef167210a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a2be-0d75-488b-9e08-ebf2caca0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3d492a-34e3-4bbc-b307-be6ada0c9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b1dc2-0a21-4630-9e04-ef167210a7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e49f8f-9ece-4c10-a2b1-9c15189c93f7}" ma:internalName="TaxCatchAll" ma:showField="CatchAllData" ma:web="cdfb1dc2-0a21-4630-9e04-ef167210a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91BD8-0EF9-4112-970E-686CF1EE0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F7BBC-8954-44E2-8142-B1070232B71C}">
  <ds:schemaRefs>
    <ds:schemaRef ds:uri="http://schemas.microsoft.com/office/2006/metadata/properties"/>
    <ds:schemaRef ds:uri="http://schemas.microsoft.com/office/infopath/2007/PartnerControls"/>
    <ds:schemaRef ds:uri="cdfb1dc2-0a21-4630-9e04-ef167210a7b9"/>
    <ds:schemaRef ds:uri="c9f0a2be-0d75-488b-9e08-ebf2caca0a77"/>
  </ds:schemaRefs>
</ds:datastoreItem>
</file>

<file path=customXml/itemProps3.xml><?xml version="1.0" encoding="utf-8"?>
<ds:datastoreItem xmlns:ds="http://schemas.openxmlformats.org/officeDocument/2006/customXml" ds:itemID="{4F09EA6C-E41A-4946-81C6-D1C674CDD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361167-521A-4A1D-811F-CDD9F6A2D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0a2be-0d75-488b-9e08-ebf2caca0a77"/>
    <ds:schemaRef ds:uri="cdfb1dc2-0a21-4630-9e04-ef167210a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1121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Tomáš</dc:creator>
  <cp:keywords/>
  <dc:description/>
  <cp:lastModifiedBy>Stránský Tomáš SOR</cp:lastModifiedBy>
  <cp:revision>73</cp:revision>
  <dcterms:created xsi:type="dcterms:W3CDTF">2023-03-29T08:57:00Z</dcterms:created>
  <dcterms:modified xsi:type="dcterms:W3CDTF">2024-04-09T07:39:00Z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0x0101001E2507C56D467B4BA8CDCD537EE2BD0C</vt:lpwstr>
  </property>
  <property fmtid="{D5CDD505-2E9C-101B-9397-08002B2CF9AE}" pid="3" name="MediaServiceImageTags">
    <vt:lpwstr/>
  </property>
</Properties>
</file>